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EED94" w14:textId="77777777" w:rsidR="004D2FD8" w:rsidRPr="00E91608" w:rsidRDefault="004D2FD8" w:rsidP="00AE7654">
      <w:pPr>
        <w:pStyle w:val="Naslov1"/>
        <w:numPr>
          <w:ilvl w:val="0"/>
          <w:numId w:val="0"/>
        </w:numPr>
        <w:tabs>
          <w:tab w:val="left" w:pos="2268"/>
        </w:tabs>
        <w:spacing w:after="120"/>
        <w:rPr>
          <w:rFonts w:ascii="Times New Roman" w:hAnsi="Times New Roman"/>
          <w:sz w:val="28"/>
          <w:lang w:val="en-GB"/>
        </w:rPr>
      </w:pPr>
      <w:bookmarkStart w:id="0" w:name="_Toc42488098"/>
      <w:bookmarkStart w:id="1" w:name="_Hlk186098751"/>
      <w:r w:rsidRPr="00E91608">
        <w:rPr>
          <w:rFonts w:ascii="Times New Roman" w:hAnsi="Times New Roman"/>
          <w:i/>
          <w:sz w:val="40"/>
          <w:lang w:val="en-GB"/>
        </w:rPr>
        <w:t xml:space="preserve">ANNEX </w:t>
      </w:r>
      <w:r w:rsidR="00E13CDE" w:rsidRPr="00E91608">
        <w:rPr>
          <w:rFonts w:ascii="Times New Roman" w:hAnsi="Times New Roman"/>
          <w:i/>
          <w:sz w:val="40"/>
          <w:lang w:val="en-GB"/>
        </w:rPr>
        <w:t xml:space="preserve">II </w:t>
      </w:r>
      <w:r w:rsidR="00EB4039" w:rsidRPr="00E91608">
        <w:rPr>
          <w:rFonts w:ascii="Times New Roman" w:hAnsi="Times New Roman"/>
          <w:i/>
          <w:sz w:val="40"/>
          <w:lang w:val="en-GB"/>
        </w:rPr>
        <w:t>+ III</w:t>
      </w:r>
      <w:r w:rsidR="00E656F6" w:rsidRPr="00E91608">
        <w:rPr>
          <w:rFonts w:ascii="Times New Roman" w:hAnsi="Times New Roman"/>
          <w:i/>
          <w:sz w:val="40"/>
          <w:lang w:val="en-GB"/>
        </w:rPr>
        <w:t xml:space="preserve"> </w:t>
      </w:r>
      <w:r w:rsidRPr="00E91608">
        <w:rPr>
          <w:rFonts w:ascii="Times New Roman" w:hAnsi="Times New Roman"/>
          <w:i/>
          <w:sz w:val="40"/>
          <w:lang w:val="en-GB"/>
        </w:rPr>
        <w:t>:</w:t>
      </w:r>
      <w:r w:rsidRPr="00E91608">
        <w:rPr>
          <w:rFonts w:ascii="Times New Roman" w:hAnsi="Times New Roman"/>
          <w:i/>
          <w:sz w:val="40"/>
          <w:lang w:val="en-GB"/>
        </w:rPr>
        <w:tab/>
      </w:r>
      <w:r w:rsidRPr="00E91608">
        <w:rPr>
          <w:rFonts w:ascii="Times New Roman" w:hAnsi="Times New Roman"/>
          <w:i/>
          <w:lang w:val="en-GB"/>
        </w:rPr>
        <w:t xml:space="preserve"> </w:t>
      </w:r>
      <w:r w:rsidRPr="00E91608">
        <w:rPr>
          <w:rFonts w:ascii="Times New Roman" w:hAnsi="Times New Roman"/>
          <w:sz w:val="28"/>
          <w:lang w:val="en-GB"/>
        </w:rPr>
        <w:t>TECHNICAL SPECIFICATIONS</w:t>
      </w:r>
      <w:bookmarkEnd w:id="0"/>
      <w:r w:rsidR="00EB4039" w:rsidRPr="00E91608">
        <w:rPr>
          <w:rFonts w:ascii="Times New Roman" w:hAnsi="Times New Roman"/>
          <w:sz w:val="28"/>
          <w:lang w:val="en-GB"/>
        </w:rPr>
        <w:t xml:space="preserve"> + TECHNICAL OFFER</w:t>
      </w:r>
      <w:bookmarkEnd w:id="1"/>
      <w:r w:rsidR="00F01BB4" w:rsidRPr="00E91608">
        <w:rPr>
          <w:rFonts w:ascii="Times New Roman" w:hAnsi="Times New Roman"/>
          <w:sz w:val="28"/>
          <w:lang w:val="en-GB"/>
        </w:rPr>
        <w:t xml:space="preserve"> </w:t>
      </w:r>
    </w:p>
    <w:p w14:paraId="164AFD2C" w14:textId="77777777" w:rsidR="0080084B" w:rsidRPr="00E91608" w:rsidRDefault="0080084B" w:rsidP="0080084B">
      <w:pPr>
        <w:spacing w:before="0" w:after="0"/>
        <w:ind w:left="567" w:hanging="567"/>
        <w:jc w:val="center"/>
        <w:rPr>
          <w:rStyle w:val="Naglaeno"/>
          <w:rFonts w:ascii="Times New Roman" w:hAnsi="Times New Roman"/>
          <w:szCs w:val="24"/>
        </w:rPr>
      </w:pPr>
      <w:r w:rsidRPr="00E91608">
        <w:rPr>
          <w:rStyle w:val="Naglaeno"/>
          <w:rFonts w:ascii="Times New Roman" w:hAnsi="Times New Roman"/>
          <w:szCs w:val="24"/>
        </w:rPr>
        <w:t>Supply of tele and digitalisation software including IT equipment</w:t>
      </w:r>
    </w:p>
    <w:p w14:paraId="0D58D6ED" w14:textId="55DF4492" w:rsidR="00EB4039" w:rsidRPr="00E91608" w:rsidRDefault="0080084B" w:rsidP="0080084B">
      <w:pPr>
        <w:spacing w:before="0" w:after="0"/>
        <w:ind w:left="567" w:hanging="567"/>
        <w:jc w:val="center"/>
        <w:rPr>
          <w:rFonts w:ascii="Times New Roman" w:hAnsi="Times New Roman"/>
          <w:b/>
          <w:sz w:val="22"/>
          <w:szCs w:val="22"/>
          <w:highlight w:val="yellow"/>
          <w:lang w:val="en-GB"/>
        </w:rPr>
      </w:pPr>
      <w:r w:rsidRPr="00E91608">
        <w:rPr>
          <w:rStyle w:val="Naglaeno"/>
          <w:rFonts w:ascii="Times New Roman" w:hAnsi="Times New Roman"/>
          <w:szCs w:val="24"/>
        </w:rPr>
        <w:t>Ref.no: 01-P-24/25</w:t>
      </w:r>
    </w:p>
    <w:p w14:paraId="6960C854" w14:textId="77777777" w:rsidR="007F13C5" w:rsidRPr="00E91608" w:rsidRDefault="007F13C5" w:rsidP="00EB4039">
      <w:pPr>
        <w:spacing w:before="0" w:after="0"/>
        <w:ind w:left="567" w:hanging="567"/>
        <w:rPr>
          <w:rFonts w:ascii="Times New Roman" w:hAnsi="Times New Roman"/>
          <w:b/>
          <w:sz w:val="22"/>
          <w:szCs w:val="22"/>
          <w:lang w:val="en-GB"/>
        </w:rPr>
      </w:pPr>
    </w:p>
    <w:p w14:paraId="2439FAF8" w14:textId="6D5823C2" w:rsidR="00EB4039" w:rsidRPr="00E91608" w:rsidRDefault="00EB4039" w:rsidP="00EB4039">
      <w:pPr>
        <w:spacing w:before="0" w:after="0"/>
        <w:ind w:left="567" w:hanging="567"/>
        <w:rPr>
          <w:rFonts w:ascii="Times New Roman" w:hAnsi="Times New Roman"/>
          <w:b/>
          <w:sz w:val="22"/>
          <w:szCs w:val="22"/>
          <w:lang w:val="en-GB"/>
        </w:rPr>
      </w:pPr>
      <w:r w:rsidRPr="00E91608">
        <w:rPr>
          <w:rFonts w:ascii="Times New Roman" w:hAnsi="Times New Roman"/>
          <w:b/>
          <w:sz w:val="22"/>
          <w:szCs w:val="22"/>
          <w:lang w:val="en-GB"/>
        </w:rPr>
        <w:t>Column</w:t>
      </w:r>
      <w:r w:rsidR="007E53F9" w:rsidRPr="00E91608">
        <w:rPr>
          <w:rFonts w:ascii="Times New Roman" w:hAnsi="Times New Roman"/>
          <w:b/>
          <w:sz w:val="22"/>
          <w:szCs w:val="22"/>
          <w:lang w:val="en-GB"/>
        </w:rPr>
        <w:t>s</w:t>
      </w:r>
      <w:r w:rsidRPr="00E91608">
        <w:rPr>
          <w:rFonts w:ascii="Times New Roman" w:hAnsi="Times New Roman"/>
          <w:b/>
          <w:sz w:val="22"/>
          <w:szCs w:val="22"/>
          <w:lang w:val="en-GB"/>
        </w:rPr>
        <w:t xml:space="preserve"> 1-2 should be completed by the </w:t>
      </w:r>
      <w:r w:rsidR="008512E1" w:rsidRPr="00E91608">
        <w:rPr>
          <w:rFonts w:ascii="Times New Roman" w:hAnsi="Times New Roman"/>
          <w:b/>
          <w:sz w:val="22"/>
          <w:szCs w:val="22"/>
          <w:lang w:val="en-GB"/>
        </w:rPr>
        <w:t>Project partner</w:t>
      </w:r>
    </w:p>
    <w:p w14:paraId="5F5DD0C3" w14:textId="77777777" w:rsidR="00301346" w:rsidRPr="00E91608" w:rsidRDefault="00301346" w:rsidP="00301346">
      <w:pPr>
        <w:spacing w:before="0" w:after="0"/>
        <w:ind w:left="567" w:hanging="567"/>
        <w:rPr>
          <w:rFonts w:ascii="Times New Roman" w:hAnsi="Times New Roman"/>
          <w:b/>
          <w:sz w:val="22"/>
          <w:szCs w:val="22"/>
          <w:lang w:val="en-GB"/>
        </w:rPr>
      </w:pPr>
      <w:r w:rsidRPr="00E91608">
        <w:rPr>
          <w:rFonts w:ascii="Times New Roman" w:hAnsi="Times New Roman"/>
          <w:b/>
          <w:sz w:val="22"/>
          <w:szCs w:val="22"/>
          <w:lang w:val="en-GB"/>
        </w:rPr>
        <w:t>Column</w:t>
      </w:r>
      <w:r w:rsidR="007E53F9" w:rsidRPr="00E91608">
        <w:rPr>
          <w:rFonts w:ascii="Times New Roman" w:hAnsi="Times New Roman"/>
          <w:b/>
          <w:sz w:val="22"/>
          <w:szCs w:val="22"/>
          <w:lang w:val="en-GB"/>
        </w:rPr>
        <w:t>s</w:t>
      </w:r>
      <w:r w:rsidRPr="00E91608">
        <w:rPr>
          <w:rFonts w:ascii="Times New Roman" w:hAnsi="Times New Roman"/>
          <w:b/>
          <w:sz w:val="22"/>
          <w:szCs w:val="22"/>
          <w:lang w:val="en-GB"/>
        </w:rPr>
        <w:t xml:space="preserve"> 3-4 should be completed by the tenderer</w:t>
      </w:r>
    </w:p>
    <w:p w14:paraId="2D1EAC6C" w14:textId="77777777" w:rsidR="004D2FD8" w:rsidRPr="00E91608" w:rsidRDefault="00301346" w:rsidP="00301346">
      <w:pPr>
        <w:spacing w:before="0"/>
        <w:rPr>
          <w:rFonts w:ascii="Times New Roman" w:hAnsi="Times New Roman"/>
          <w:b/>
          <w:sz w:val="24"/>
          <w:lang w:val="en-GB"/>
        </w:rPr>
      </w:pPr>
      <w:r w:rsidRPr="00E91608">
        <w:rPr>
          <w:rFonts w:ascii="Times New Roman" w:hAnsi="Times New Roman"/>
          <w:b/>
          <w:sz w:val="22"/>
          <w:szCs w:val="22"/>
          <w:lang w:val="en-GB"/>
        </w:rPr>
        <w:t xml:space="preserve">Column 5 is reserved for the evaluation committee </w:t>
      </w:r>
    </w:p>
    <w:p w14:paraId="0CC96E13" w14:textId="77777777" w:rsidR="00EB4039" w:rsidRPr="00E91608" w:rsidRDefault="00EB4039" w:rsidP="00EB4039">
      <w:pPr>
        <w:ind w:left="567" w:hanging="567"/>
        <w:rPr>
          <w:rFonts w:ascii="Times New Roman" w:hAnsi="Times New Roman"/>
          <w:sz w:val="22"/>
          <w:szCs w:val="22"/>
          <w:lang w:val="en-GB"/>
        </w:rPr>
      </w:pPr>
      <w:r w:rsidRPr="00E91608">
        <w:rPr>
          <w:rFonts w:ascii="Times New Roman" w:hAnsi="Times New Roman"/>
          <w:sz w:val="22"/>
          <w:szCs w:val="22"/>
          <w:lang w:val="en-GB"/>
        </w:rPr>
        <w:t>Annex III - the Contractor's technical offer</w:t>
      </w:r>
    </w:p>
    <w:p w14:paraId="26908347" w14:textId="77777777" w:rsidR="00EB4039" w:rsidRPr="00E91608" w:rsidRDefault="00EB4039" w:rsidP="002A10F1">
      <w:pPr>
        <w:spacing w:after="0"/>
        <w:ind w:left="567" w:hanging="567"/>
        <w:rPr>
          <w:rFonts w:ascii="Times New Roman" w:hAnsi="Times New Roman"/>
          <w:sz w:val="22"/>
          <w:szCs w:val="22"/>
          <w:lang w:val="en-GB"/>
        </w:rPr>
      </w:pPr>
      <w:r w:rsidRPr="00E91608">
        <w:rPr>
          <w:rFonts w:ascii="Times New Roman" w:hAnsi="Times New Roman"/>
          <w:sz w:val="22"/>
          <w:szCs w:val="22"/>
          <w:lang w:val="en-GB"/>
        </w:rPr>
        <w:t xml:space="preserve">The tenderers are requested to complete the template on the next pages: </w:t>
      </w:r>
    </w:p>
    <w:p w14:paraId="1109135D" w14:textId="77777777" w:rsidR="00EB4039" w:rsidRPr="00E91608" w:rsidRDefault="000F3878" w:rsidP="002A10F1">
      <w:pPr>
        <w:numPr>
          <w:ilvl w:val="0"/>
          <w:numId w:val="35"/>
        </w:numPr>
        <w:spacing w:after="0"/>
        <w:jc w:val="both"/>
        <w:rPr>
          <w:rFonts w:ascii="Times New Roman" w:hAnsi="Times New Roman"/>
          <w:sz w:val="22"/>
          <w:szCs w:val="22"/>
          <w:lang w:val="en-GB"/>
        </w:rPr>
      </w:pPr>
      <w:r w:rsidRPr="00E91608">
        <w:rPr>
          <w:rFonts w:ascii="Times New Roman" w:hAnsi="Times New Roman"/>
          <w:sz w:val="22"/>
          <w:szCs w:val="22"/>
          <w:lang w:val="en-GB"/>
        </w:rPr>
        <w:t>C</w:t>
      </w:r>
      <w:r w:rsidR="00EB4039" w:rsidRPr="00E91608">
        <w:rPr>
          <w:rFonts w:ascii="Times New Roman" w:hAnsi="Times New Roman"/>
          <w:sz w:val="22"/>
          <w:szCs w:val="22"/>
          <w:lang w:val="en-GB"/>
        </w:rPr>
        <w:t xml:space="preserve">olumn </w:t>
      </w:r>
      <w:r w:rsidRPr="00E91608">
        <w:rPr>
          <w:rFonts w:ascii="Times New Roman" w:hAnsi="Times New Roman"/>
          <w:sz w:val="22"/>
          <w:szCs w:val="22"/>
          <w:lang w:val="en-GB"/>
        </w:rPr>
        <w:t xml:space="preserve">2 is completed by the </w:t>
      </w:r>
      <w:r w:rsidR="008512E1" w:rsidRPr="00E91608">
        <w:rPr>
          <w:rFonts w:ascii="Times New Roman" w:hAnsi="Times New Roman"/>
          <w:sz w:val="22"/>
          <w:szCs w:val="22"/>
          <w:lang w:val="en-GB"/>
        </w:rPr>
        <w:t>Project partner</w:t>
      </w:r>
      <w:r w:rsidRPr="00E91608">
        <w:rPr>
          <w:rFonts w:ascii="Times New Roman" w:hAnsi="Times New Roman"/>
          <w:sz w:val="22"/>
          <w:szCs w:val="22"/>
          <w:lang w:val="en-GB"/>
        </w:rPr>
        <w:t xml:space="preserve"> </w:t>
      </w:r>
      <w:r w:rsidR="00EB4039" w:rsidRPr="00E91608">
        <w:rPr>
          <w:rFonts w:ascii="Times New Roman" w:hAnsi="Times New Roman"/>
          <w:sz w:val="22"/>
          <w:szCs w:val="22"/>
          <w:lang w:val="en-GB"/>
        </w:rPr>
        <w:t>shows the required specifications</w:t>
      </w:r>
      <w:r w:rsidRPr="00E91608">
        <w:rPr>
          <w:rFonts w:ascii="Times New Roman" w:hAnsi="Times New Roman"/>
          <w:sz w:val="22"/>
          <w:szCs w:val="22"/>
          <w:lang w:val="en-GB"/>
        </w:rPr>
        <w:t xml:space="preserve"> (not to be modified by the tenderer)</w:t>
      </w:r>
      <w:r w:rsidR="00EB4039" w:rsidRPr="00E91608">
        <w:rPr>
          <w:rFonts w:ascii="Times New Roman" w:hAnsi="Times New Roman"/>
          <w:sz w:val="22"/>
          <w:szCs w:val="22"/>
          <w:lang w:val="en-GB"/>
        </w:rPr>
        <w:t xml:space="preserve">, </w:t>
      </w:r>
    </w:p>
    <w:p w14:paraId="24387EB9" w14:textId="77777777" w:rsidR="00EB4039" w:rsidRPr="00E91608" w:rsidRDefault="000F3878" w:rsidP="002A10F1">
      <w:pPr>
        <w:numPr>
          <w:ilvl w:val="0"/>
          <w:numId w:val="35"/>
        </w:numPr>
        <w:spacing w:after="0"/>
        <w:jc w:val="both"/>
        <w:rPr>
          <w:rFonts w:ascii="Times New Roman" w:hAnsi="Times New Roman"/>
          <w:sz w:val="22"/>
          <w:szCs w:val="22"/>
          <w:lang w:val="en-GB"/>
        </w:rPr>
      </w:pPr>
      <w:r w:rsidRPr="00E91608">
        <w:rPr>
          <w:rFonts w:ascii="Times New Roman" w:hAnsi="Times New Roman"/>
          <w:sz w:val="22"/>
          <w:szCs w:val="22"/>
          <w:lang w:val="en-GB"/>
        </w:rPr>
        <w:t>Column 3</w:t>
      </w:r>
      <w:r w:rsidR="00EB4039" w:rsidRPr="00E91608">
        <w:rPr>
          <w:rFonts w:ascii="Times New Roman" w:hAnsi="Times New Roman"/>
          <w:sz w:val="22"/>
          <w:szCs w:val="22"/>
          <w:lang w:val="en-GB"/>
        </w:rPr>
        <w:t xml:space="preserve"> is to be filled in by the tenderer and must detail what is offered (for example the words “compliant” or “yes” are not sufficient)</w:t>
      </w:r>
      <w:r w:rsidR="00E656F6" w:rsidRPr="00E91608">
        <w:rPr>
          <w:rFonts w:ascii="Times New Roman" w:hAnsi="Times New Roman"/>
          <w:sz w:val="22"/>
          <w:szCs w:val="22"/>
          <w:lang w:val="en-GB"/>
        </w:rPr>
        <w:t xml:space="preserve"> </w:t>
      </w:r>
      <w:r w:rsidR="00EB4039" w:rsidRPr="00E91608">
        <w:rPr>
          <w:rFonts w:ascii="Times New Roman" w:hAnsi="Times New Roman"/>
          <w:sz w:val="22"/>
          <w:szCs w:val="22"/>
          <w:lang w:val="en-GB"/>
        </w:rPr>
        <w:t xml:space="preserve"> </w:t>
      </w:r>
    </w:p>
    <w:p w14:paraId="266251EE" w14:textId="77777777" w:rsidR="00EB4039" w:rsidRPr="00E91608" w:rsidRDefault="000F3878" w:rsidP="002A10F1">
      <w:pPr>
        <w:numPr>
          <w:ilvl w:val="0"/>
          <w:numId w:val="35"/>
        </w:numPr>
        <w:spacing w:after="0"/>
        <w:jc w:val="both"/>
        <w:rPr>
          <w:rFonts w:ascii="Times New Roman" w:hAnsi="Times New Roman"/>
          <w:sz w:val="22"/>
          <w:szCs w:val="22"/>
          <w:lang w:val="en-GB"/>
        </w:rPr>
      </w:pPr>
      <w:r w:rsidRPr="00E91608">
        <w:rPr>
          <w:rFonts w:ascii="Times New Roman" w:hAnsi="Times New Roman"/>
          <w:sz w:val="22"/>
          <w:szCs w:val="22"/>
          <w:lang w:val="en-GB"/>
        </w:rPr>
        <w:t>Column 4</w:t>
      </w:r>
      <w:r w:rsidR="00EB4039" w:rsidRPr="00E91608">
        <w:rPr>
          <w:rFonts w:ascii="Times New Roman" w:hAnsi="Times New Roman"/>
          <w:sz w:val="22"/>
          <w:szCs w:val="22"/>
          <w:lang w:val="en-GB"/>
        </w:rPr>
        <w:t xml:space="preserve"> allows the tenderer to make comments on</w:t>
      </w:r>
      <w:r w:rsidR="00E656F6" w:rsidRPr="00E91608">
        <w:rPr>
          <w:rFonts w:ascii="Times New Roman" w:hAnsi="Times New Roman"/>
          <w:sz w:val="22"/>
          <w:szCs w:val="22"/>
          <w:lang w:val="en-GB"/>
        </w:rPr>
        <w:t xml:space="preserve"> </w:t>
      </w:r>
      <w:r w:rsidR="0078178B" w:rsidRPr="00E91608">
        <w:rPr>
          <w:rFonts w:ascii="Times New Roman" w:hAnsi="Times New Roman"/>
          <w:sz w:val="22"/>
          <w:szCs w:val="22"/>
          <w:lang w:val="en-GB"/>
        </w:rPr>
        <w:t xml:space="preserve">its </w:t>
      </w:r>
      <w:r w:rsidR="00EB4039" w:rsidRPr="00E91608">
        <w:rPr>
          <w:rFonts w:ascii="Times New Roman" w:hAnsi="Times New Roman"/>
          <w:sz w:val="22"/>
          <w:szCs w:val="22"/>
          <w:lang w:val="en-GB"/>
        </w:rPr>
        <w:t>proposed supply and to make eventual references to the documentation</w:t>
      </w:r>
    </w:p>
    <w:p w14:paraId="24EDDF52" w14:textId="77777777" w:rsidR="00EB4039" w:rsidRPr="00E91608" w:rsidRDefault="00EB4039" w:rsidP="002A10F1">
      <w:pPr>
        <w:spacing w:after="0"/>
        <w:jc w:val="both"/>
        <w:rPr>
          <w:rFonts w:ascii="Times New Roman" w:hAnsi="Times New Roman"/>
          <w:sz w:val="22"/>
          <w:szCs w:val="22"/>
          <w:lang w:val="en-GB"/>
        </w:rPr>
      </w:pPr>
      <w:r w:rsidRPr="00E91608">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Pr="00E91608" w:rsidRDefault="00EB4039" w:rsidP="002A10F1">
      <w:pPr>
        <w:spacing w:after="0"/>
        <w:ind w:left="567" w:hanging="567"/>
        <w:jc w:val="both"/>
        <w:rPr>
          <w:rFonts w:ascii="Times New Roman" w:hAnsi="Times New Roman"/>
          <w:sz w:val="22"/>
          <w:szCs w:val="22"/>
          <w:lang w:val="en-GB"/>
        </w:rPr>
      </w:pPr>
      <w:r w:rsidRPr="00E91608">
        <w:rPr>
          <w:rFonts w:ascii="Times New Roman" w:hAnsi="Times New Roman"/>
          <w:sz w:val="22"/>
          <w:szCs w:val="22"/>
          <w:lang w:val="en-GB"/>
        </w:rPr>
        <w:t>The offer must be clear enough to allow the evaluators to make an easy comparison between the requested specifications and the offered</w:t>
      </w:r>
      <w:r w:rsidRPr="00E91608">
        <w:rPr>
          <w:rFonts w:ascii="Times New Roman" w:hAnsi="Times New Roman"/>
          <w:b/>
          <w:sz w:val="22"/>
          <w:szCs w:val="22"/>
          <w:lang w:val="en-GB"/>
        </w:rPr>
        <w:t xml:space="preserve"> </w:t>
      </w:r>
      <w:r w:rsidRPr="00E91608">
        <w:rPr>
          <w:rFonts w:ascii="Times New Roman" w:hAnsi="Times New Roman"/>
          <w:sz w:val="22"/>
          <w:szCs w:val="22"/>
          <w:lang w:val="en-GB"/>
        </w:rPr>
        <w:t>specifications.</w:t>
      </w:r>
    </w:p>
    <w:p w14:paraId="273C9593" w14:textId="77777777" w:rsidR="00DD7377" w:rsidRPr="00E91608" w:rsidRDefault="00DD7377" w:rsidP="0075465B">
      <w:pPr>
        <w:spacing w:after="0"/>
        <w:jc w:val="both"/>
        <w:rPr>
          <w:rFonts w:ascii="Times New Roman" w:eastAsia="Calibri" w:hAnsi="Times New Roman"/>
          <w:bCs/>
          <w:sz w:val="22"/>
          <w:szCs w:val="22"/>
          <w:lang w:val="en-GB"/>
        </w:rPr>
      </w:pPr>
      <w:r w:rsidRPr="00E91608">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E91608" w:rsidRDefault="00DD7377" w:rsidP="00F01BB4">
      <w:pPr>
        <w:spacing w:after="0"/>
        <w:jc w:val="both"/>
        <w:rPr>
          <w:rFonts w:ascii="Times New Roman" w:hAnsi="Times New Roman"/>
          <w:sz w:val="22"/>
          <w:szCs w:val="22"/>
          <w:lang w:val="en-GB"/>
        </w:rPr>
      </w:pPr>
      <w:r w:rsidRPr="00E91608">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54026100" w14:textId="77777777" w:rsidR="00DD7377" w:rsidRPr="00E91608" w:rsidRDefault="00DD7377" w:rsidP="00EB4039">
      <w:pPr>
        <w:ind w:left="567" w:hanging="567"/>
        <w:jc w:val="both"/>
        <w:rPr>
          <w:rFonts w:ascii="Times New Roman" w:hAnsi="Times New Roman"/>
          <w:sz w:val="22"/>
          <w:szCs w:val="22"/>
          <w:lang w:val="en-GB"/>
        </w:rPr>
      </w:pPr>
    </w:p>
    <w:p w14:paraId="7A502BBE" w14:textId="77777777" w:rsidR="00EB4039" w:rsidRPr="00E91608" w:rsidRDefault="005C4176" w:rsidP="00EB4039">
      <w:pPr>
        <w:ind w:left="567" w:hanging="567"/>
        <w:jc w:val="both"/>
        <w:rPr>
          <w:rFonts w:ascii="Times New Roman" w:hAnsi="Times New Roman"/>
          <w:b/>
          <w:sz w:val="22"/>
          <w:szCs w:val="22"/>
          <w:lang w:val="en-GB"/>
        </w:rPr>
      </w:pPr>
      <w:r w:rsidRPr="00E91608">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074"/>
        <w:gridCol w:w="4253"/>
        <w:gridCol w:w="2835"/>
        <w:gridCol w:w="1984"/>
      </w:tblGrid>
      <w:tr w:rsidR="00301346" w:rsidRPr="00E91608" w14:paraId="6C2B048B" w14:textId="77777777" w:rsidTr="00224E7F">
        <w:trPr>
          <w:cantSplit/>
          <w:trHeight w:val="879"/>
          <w:tblHeader/>
        </w:trPr>
        <w:tc>
          <w:tcPr>
            <w:tcW w:w="738" w:type="dxa"/>
            <w:shd w:val="pct5" w:color="auto" w:fill="FFFFFF"/>
          </w:tcPr>
          <w:p w14:paraId="70AB03B1" w14:textId="77777777" w:rsidR="000F3878" w:rsidRPr="00E91608" w:rsidRDefault="000F3878" w:rsidP="00301346">
            <w:pPr>
              <w:jc w:val="center"/>
              <w:rPr>
                <w:rFonts w:ascii="Times New Roman" w:hAnsi="Times New Roman"/>
                <w:b/>
                <w:sz w:val="22"/>
                <w:szCs w:val="22"/>
              </w:rPr>
            </w:pPr>
            <w:r w:rsidRPr="00E91608">
              <w:rPr>
                <w:rFonts w:ascii="Times New Roman" w:hAnsi="Times New Roman"/>
                <w:b/>
                <w:sz w:val="22"/>
                <w:szCs w:val="22"/>
              </w:rPr>
              <w:lastRenderedPageBreak/>
              <w:t>1.</w:t>
            </w:r>
          </w:p>
          <w:p w14:paraId="6BB99E40" w14:textId="576E430B" w:rsidR="00301346" w:rsidRPr="00E91608" w:rsidRDefault="00301346" w:rsidP="00301346">
            <w:pPr>
              <w:jc w:val="center"/>
              <w:rPr>
                <w:rFonts w:ascii="Times New Roman" w:hAnsi="Times New Roman"/>
                <w:b/>
                <w:sz w:val="22"/>
                <w:szCs w:val="22"/>
                <w:highlight w:val="green"/>
              </w:rPr>
            </w:pPr>
            <w:r w:rsidRPr="00E91608">
              <w:rPr>
                <w:rFonts w:ascii="Times New Roman" w:hAnsi="Times New Roman"/>
                <w:b/>
                <w:sz w:val="22"/>
                <w:szCs w:val="22"/>
              </w:rPr>
              <w:t xml:space="preserve">Item </w:t>
            </w:r>
            <w:r w:rsidR="00224E7F" w:rsidRPr="00E91608">
              <w:rPr>
                <w:rFonts w:ascii="Times New Roman" w:hAnsi="Times New Roman"/>
                <w:b/>
                <w:sz w:val="22"/>
                <w:szCs w:val="22"/>
              </w:rPr>
              <w:t>no.</w:t>
            </w:r>
          </w:p>
        </w:tc>
        <w:tc>
          <w:tcPr>
            <w:tcW w:w="5074" w:type="dxa"/>
            <w:shd w:val="pct5" w:color="auto" w:fill="FFFFFF"/>
          </w:tcPr>
          <w:p w14:paraId="4AF8EE51" w14:textId="77777777" w:rsidR="000F3878" w:rsidRPr="00E91608" w:rsidRDefault="000F3878" w:rsidP="00301346">
            <w:pPr>
              <w:jc w:val="center"/>
              <w:rPr>
                <w:rFonts w:ascii="Times New Roman" w:hAnsi="Times New Roman"/>
                <w:b/>
                <w:sz w:val="22"/>
                <w:szCs w:val="22"/>
              </w:rPr>
            </w:pPr>
            <w:r w:rsidRPr="00E91608">
              <w:rPr>
                <w:rFonts w:ascii="Times New Roman" w:hAnsi="Times New Roman"/>
                <w:b/>
                <w:sz w:val="22"/>
                <w:szCs w:val="22"/>
              </w:rPr>
              <w:t>2.</w:t>
            </w:r>
          </w:p>
          <w:p w14:paraId="4ADB7703" w14:textId="77777777" w:rsidR="00301346" w:rsidRPr="00E91608" w:rsidRDefault="00301346" w:rsidP="00301346">
            <w:pPr>
              <w:jc w:val="center"/>
              <w:rPr>
                <w:rFonts w:ascii="Times New Roman" w:hAnsi="Times New Roman"/>
                <w:b/>
                <w:sz w:val="22"/>
                <w:szCs w:val="22"/>
              </w:rPr>
            </w:pPr>
            <w:r w:rsidRPr="00E91608">
              <w:rPr>
                <w:rFonts w:ascii="Times New Roman" w:hAnsi="Times New Roman"/>
                <w:b/>
                <w:sz w:val="22"/>
                <w:szCs w:val="22"/>
              </w:rPr>
              <w:t xml:space="preserve">Specifications </w:t>
            </w:r>
            <w:r w:rsidR="00E64C97" w:rsidRPr="00E91608">
              <w:rPr>
                <w:rFonts w:ascii="Times New Roman" w:hAnsi="Times New Roman"/>
                <w:b/>
                <w:sz w:val="22"/>
                <w:szCs w:val="22"/>
              </w:rPr>
              <w:t>Required</w:t>
            </w:r>
          </w:p>
        </w:tc>
        <w:tc>
          <w:tcPr>
            <w:tcW w:w="4253" w:type="dxa"/>
            <w:shd w:val="pct5" w:color="auto" w:fill="FFFFFF"/>
          </w:tcPr>
          <w:p w14:paraId="607182E8" w14:textId="77777777" w:rsidR="000F3878" w:rsidRPr="00E91608" w:rsidRDefault="000F3878" w:rsidP="00301346">
            <w:pPr>
              <w:tabs>
                <w:tab w:val="left" w:pos="729"/>
              </w:tabs>
              <w:jc w:val="center"/>
              <w:rPr>
                <w:rFonts w:ascii="Times New Roman" w:hAnsi="Times New Roman"/>
                <w:b/>
                <w:sz w:val="22"/>
                <w:szCs w:val="22"/>
              </w:rPr>
            </w:pPr>
            <w:r w:rsidRPr="00E91608">
              <w:rPr>
                <w:rFonts w:ascii="Times New Roman" w:hAnsi="Times New Roman"/>
                <w:b/>
                <w:sz w:val="22"/>
                <w:szCs w:val="22"/>
              </w:rPr>
              <w:t>3.</w:t>
            </w:r>
          </w:p>
          <w:p w14:paraId="7DB7EFCB" w14:textId="77777777" w:rsidR="00301346" w:rsidRPr="00E91608" w:rsidRDefault="00301346" w:rsidP="00301346">
            <w:pPr>
              <w:tabs>
                <w:tab w:val="left" w:pos="729"/>
              </w:tabs>
              <w:jc w:val="center"/>
              <w:rPr>
                <w:rFonts w:ascii="Times New Roman" w:hAnsi="Times New Roman"/>
                <w:b/>
                <w:sz w:val="22"/>
                <w:szCs w:val="22"/>
              </w:rPr>
            </w:pPr>
            <w:r w:rsidRPr="00E91608">
              <w:rPr>
                <w:rFonts w:ascii="Times New Roman" w:hAnsi="Times New Roman"/>
                <w:b/>
                <w:sz w:val="22"/>
                <w:szCs w:val="22"/>
              </w:rPr>
              <w:t>Specifications</w:t>
            </w:r>
            <w:r w:rsidR="00E656F6" w:rsidRPr="00E91608">
              <w:rPr>
                <w:rFonts w:ascii="Times New Roman" w:hAnsi="Times New Roman"/>
                <w:b/>
                <w:sz w:val="22"/>
                <w:szCs w:val="22"/>
              </w:rPr>
              <w:t xml:space="preserve"> </w:t>
            </w:r>
            <w:r w:rsidRPr="00E91608">
              <w:rPr>
                <w:rFonts w:ascii="Times New Roman" w:hAnsi="Times New Roman"/>
                <w:b/>
                <w:sz w:val="22"/>
                <w:szCs w:val="22"/>
              </w:rPr>
              <w:t>Offered</w:t>
            </w:r>
          </w:p>
        </w:tc>
        <w:tc>
          <w:tcPr>
            <w:tcW w:w="2835" w:type="dxa"/>
            <w:shd w:val="pct5" w:color="auto" w:fill="FFFFFF"/>
          </w:tcPr>
          <w:p w14:paraId="14774612" w14:textId="77777777" w:rsidR="000F3878" w:rsidRPr="00E91608" w:rsidRDefault="000F3878" w:rsidP="00301346">
            <w:pPr>
              <w:tabs>
                <w:tab w:val="left" w:pos="729"/>
              </w:tabs>
              <w:jc w:val="center"/>
              <w:rPr>
                <w:rFonts w:ascii="Times New Roman" w:hAnsi="Times New Roman"/>
                <w:b/>
                <w:sz w:val="22"/>
                <w:szCs w:val="22"/>
                <w:lang w:val="en-GB"/>
              </w:rPr>
            </w:pPr>
            <w:r w:rsidRPr="00E91608">
              <w:rPr>
                <w:rFonts w:ascii="Times New Roman" w:hAnsi="Times New Roman"/>
                <w:b/>
                <w:sz w:val="22"/>
                <w:szCs w:val="22"/>
                <w:lang w:val="en-GB"/>
              </w:rPr>
              <w:t>4.</w:t>
            </w:r>
            <w:r w:rsidR="00301346" w:rsidRPr="00E91608">
              <w:rPr>
                <w:rFonts w:ascii="Times New Roman" w:hAnsi="Times New Roman"/>
                <w:b/>
                <w:sz w:val="22"/>
                <w:szCs w:val="22"/>
                <w:lang w:val="en-GB"/>
              </w:rPr>
              <w:t xml:space="preserve"> </w:t>
            </w:r>
          </w:p>
          <w:p w14:paraId="3EC7D5D0" w14:textId="77777777" w:rsidR="00301346" w:rsidRPr="00E91608" w:rsidRDefault="00301346" w:rsidP="00301346">
            <w:pPr>
              <w:tabs>
                <w:tab w:val="left" w:pos="729"/>
              </w:tabs>
              <w:jc w:val="center"/>
              <w:rPr>
                <w:rFonts w:ascii="Times New Roman" w:hAnsi="Times New Roman"/>
                <w:b/>
                <w:sz w:val="22"/>
                <w:szCs w:val="22"/>
                <w:lang w:val="en-GB"/>
              </w:rPr>
            </w:pPr>
            <w:r w:rsidRPr="00E91608">
              <w:rPr>
                <w:rFonts w:ascii="Times New Roman" w:hAnsi="Times New Roman"/>
                <w:b/>
                <w:sz w:val="22"/>
                <w:szCs w:val="22"/>
                <w:lang w:val="en-GB"/>
              </w:rPr>
              <w:t xml:space="preserve">Notes, remarks, </w:t>
            </w:r>
            <w:r w:rsidR="00034B1D" w:rsidRPr="00E91608">
              <w:rPr>
                <w:rFonts w:ascii="Times New Roman" w:hAnsi="Times New Roman"/>
                <w:b/>
                <w:sz w:val="22"/>
                <w:szCs w:val="22"/>
                <w:lang w:val="en-GB"/>
              </w:rPr>
              <w:br/>
              <w:t xml:space="preserve">ref </w:t>
            </w:r>
            <w:r w:rsidRPr="00E91608">
              <w:rPr>
                <w:rFonts w:ascii="Times New Roman" w:hAnsi="Times New Roman"/>
                <w:b/>
                <w:sz w:val="22"/>
                <w:szCs w:val="22"/>
                <w:lang w:val="en-GB"/>
              </w:rPr>
              <w:t>to documentation</w:t>
            </w:r>
          </w:p>
        </w:tc>
        <w:tc>
          <w:tcPr>
            <w:tcW w:w="1984" w:type="dxa"/>
            <w:shd w:val="pct5" w:color="auto" w:fill="FFFFFF"/>
          </w:tcPr>
          <w:p w14:paraId="13626C06" w14:textId="77777777" w:rsidR="000F3878" w:rsidRPr="00E91608" w:rsidRDefault="000F3878" w:rsidP="00301346">
            <w:pPr>
              <w:tabs>
                <w:tab w:val="left" w:pos="729"/>
              </w:tabs>
              <w:jc w:val="center"/>
              <w:rPr>
                <w:rFonts w:ascii="Times New Roman" w:hAnsi="Times New Roman"/>
                <w:b/>
                <w:sz w:val="22"/>
                <w:szCs w:val="22"/>
                <w:lang w:val="en-GB"/>
              </w:rPr>
            </w:pPr>
            <w:r w:rsidRPr="00E91608">
              <w:rPr>
                <w:rFonts w:ascii="Times New Roman" w:hAnsi="Times New Roman"/>
                <w:b/>
                <w:sz w:val="22"/>
                <w:szCs w:val="22"/>
                <w:lang w:val="en-GB"/>
              </w:rPr>
              <w:t>5.</w:t>
            </w:r>
          </w:p>
          <w:p w14:paraId="41D6E564" w14:textId="77777777" w:rsidR="00301346" w:rsidRPr="00E91608" w:rsidRDefault="00301346" w:rsidP="00301346">
            <w:pPr>
              <w:tabs>
                <w:tab w:val="left" w:pos="729"/>
              </w:tabs>
              <w:jc w:val="center"/>
              <w:rPr>
                <w:rFonts w:ascii="Times New Roman" w:hAnsi="Times New Roman"/>
                <w:b/>
                <w:sz w:val="22"/>
                <w:szCs w:val="22"/>
                <w:lang w:val="en-GB"/>
              </w:rPr>
            </w:pPr>
            <w:r w:rsidRPr="00E91608">
              <w:rPr>
                <w:rFonts w:ascii="Times New Roman" w:hAnsi="Times New Roman"/>
                <w:b/>
                <w:sz w:val="22"/>
                <w:szCs w:val="22"/>
                <w:lang w:val="en-GB"/>
              </w:rPr>
              <w:t xml:space="preserve">Evaluation Committee’s </w:t>
            </w:r>
            <w:r w:rsidR="00DD7377" w:rsidRPr="00E91608">
              <w:rPr>
                <w:rFonts w:ascii="Times New Roman" w:hAnsi="Times New Roman"/>
                <w:b/>
                <w:sz w:val="22"/>
                <w:szCs w:val="22"/>
                <w:lang w:val="en-GB"/>
              </w:rPr>
              <w:t xml:space="preserve">decision (Y/N) </w:t>
            </w:r>
            <w:r w:rsidRPr="00E91608">
              <w:rPr>
                <w:rFonts w:ascii="Times New Roman" w:hAnsi="Times New Roman"/>
                <w:b/>
                <w:sz w:val="22"/>
                <w:szCs w:val="22"/>
                <w:lang w:val="en-GB"/>
              </w:rPr>
              <w:t xml:space="preserve"> </w:t>
            </w:r>
          </w:p>
        </w:tc>
      </w:tr>
      <w:tr w:rsidR="0080084B" w:rsidRPr="00E91608" w14:paraId="3F1D6183" w14:textId="77777777" w:rsidTr="00A16DCF">
        <w:trPr>
          <w:cantSplit/>
          <w:trHeight w:val="879"/>
          <w:tblHeader/>
        </w:trPr>
        <w:tc>
          <w:tcPr>
            <w:tcW w:w="738" w:type="dxa"/>
            <w:shd w:val="clear" w:color="auto" w:fill="FFFFFF" w:themeFill="background1"/>
          </w:tcPr>
          <w:p w14:paraId="4A65A979" w14:textId="6FDC4FD8" w:rsidR="0080084B" w:rsidRPr="00E91608" w:rsidRDefault="0080084B" w:rsidP="0080084B">
            <w:pPr>
              <w:jc w:val="center"/>
              <w:rPr>
                <w:rFonts w:ascii="Times New Roman" w:hAnsi="Times New Roman"/>
                <w:b/>
                <w:sz w:val="22"/>
                <w:szCs w:val="22"/>
              </w:rPr>
            </w:pPr>
            <w:r w:rsidRPr="00E91608">
              <w:rPr>
                <w:rFonts w:ascii="Times New Roman" w:hAnsi="Times New Roman"/>
                <w:b/>
                <w:sz w:val="22"/>
                <w:szCs w:val="22"/>
              </w:rPr>
              <w:lastRenderedPageBreak/>
              <w:t>1</w:t>
            </w:r>
            <w:r w:rsidR="00FA59BB">
              <w:rPr>
                <w:rFonts w:ascii="Times New Roman" w:hAnsi="Times New Roman"/>
                <w:b/>
                <w:sz w:val="22"/>
                <w:szCs w:val="22"/>
              </w:rPr>
              <w:t>.</w:t>
            </w:r>
          </w:p>
        </w:tc>
        <w:tc>
          <w:tcPr>
            <w:tcW w:w="5074" w:type="dxa"/>
            <w:tcBorders>
              <w:top w:val="single" w:sz="4" w:space="0" w:color="auto"/>
              <w:left w:val="single" w:sz="4" w:space="0" w:color="auto"/>
              <w:bottom w:val="single" w:sz="4" w:space="0" w:color="auto"/>
              <w:right w:val="single" w:sz="4" w:space="0" w:color="auto"/>
            </w:tcBorders>
          </w:tcPr>
          <w:p w14:paraId="6E567B08" w14:textId="0B52160D" w:rsidR="0080084B" w:rsidRPr="00E91608" w:rsidRDefault="0080084B" w:rsidP="0080084B">
            <w:pPr>
              <w:spacing w:after="0"/>
              <w:jc w:val="both"/>
              <w:rPr>
                <w:rFonts w:ascii="Times New Roman" w:hAnsi="Times New Roman"/>
                <w:b/>
                <w:bCs/>
                <w:lang w:val="hr-BA" w:eastAsia="hr-BA"/>
              </w:rPr>
            </w:pPr>
            <w:r w:rsidRPr="00E91608">
              <w:rPr>
                <w:rFonts w:ascii="Times New Roman" w:hAnsi="Times New Roman"/>
                <w:b/>
                <w:bCs/>
                <w:lang w:val="hr-BA" w:eastAsia="hr-BA"/>
              </w:rPr>
              <w:t>Sustav skenera za skeniranje patohistoloških stakalaca – 1 komad</w:t>
            </w:r>
          </w:p>
          <w:p w14:paraId="06BAC1E5"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1.</w:t>
            </w:r>
            <w:r w:rsidRPr="00E91608">
              <w:rPr>
                <w:rFonts w:ascii="Times New Roman" w:hAnsi="Times New Roman"/>
                <w:lang w:val="hr-BA" w:eastAsia="hr-BA"/>
              </w:rPr>
              <w:tab/>
              <w:t>Sustav skenera uključuje:</w:t>
            </w:r>
          </w:p>
          <w:p w14:paraId="45AD1587"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skenerski uređaj s ladicom za umetanje nosača sa stakalcima</w:t>
            </w:r>
          </w:p>
          <w:p w14:paraId="1C1FC3BF"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računalo (Windows operativni sustav, minimalno 24" (ili veći) ravni LCD monitor), tipkovnica i miš</w:t>
            </w:r>
          </w:p>
          <w:p w14:paraId="09A538DA"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računalo dolazi s instaliranim software-om / aplikacijom skenera i software-om za pregled slike</w:t>
            </w:r>
          </w:p>
          <w:p w14:paraId="2282BB18"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skenerski sustav posjeduje software za pregled slika visoke rezolucije kao i software za kalibraciju i dijagnostiku</w:t>
            </w:r>
          </w:p>
          <w:p w14:paraId="0C504E88" w14:textId="609D4DDF"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2.</w:t>
            </w:r>
            <w:r w:rsidRPr="00E91608">
              <w:rPr>
                <w:rFonts w:ascii="Times New Roman" w:hAnsi="Times New Roman"/>
                <w:lang w:val="hr-BA" w:eastAsia="hr-BA"/>
              </w:rPr>
              <w:tab/>
              <w:t xml:space="preserve">Sustav skenera mora biti kompatibilan sa software-om za menadžment slika koji se traži u </w:t>
            </w:r>
            <w:r w:rsidR="00FA59BB">
              <w:rPr>
                <w:rFonts w:ascii="Times New Roman" w:hAnsi="Times New Roman"/>
                <w:lang w:val="hr-BA" w:eastAsia="hr-BA"/>
              </w:rPr>
              <w:t>stavci</w:t>
            </w:r>
            <w:r w:rsidRPr="00E91608">
              <w:rPr>
                <w:rFonts w:ascii="Times New Roman" w:hAnsi="Times New Roman"/>
                <w:lang w:val="hr-BA" w:eastAsia="hr-BA"/>
              </w:rPr>
              <w:t xml:space="preserve"> 3</w:t>
            </w:r>
            <w:r w:rsidR="00FA59BB">
              <w:rPr>
                <w:rFonts w:ascii="Times New Roman" w:hAnsi="Times New Roman"/>
                <w:lang w:val="hr-BA" w:eastAsia="hr-BA"/>
              </w:rPr>
              <w:t>.</w:t>
            </w:r>
            <w:r w:rsidRPr="00E91608">
              <w:rPr>
                <w:rFonts w:ascii="Times New Roman" w:hAnsi="Times New Roman"/>
                <w:lang w:val="hr-BA" w:eastAsia="hr-BA"/>
              </w:rPr>
              <w:t>, kao i s njegovim algoritmima za analizu slike. To je potrebno dokazati dokumentacijom izdanom od strane proizvođača (ili nositelja trademarka ponuđene opreme) skenera i/ili software-a.</w:t>
            </w:r>
          </w:p>
          <w:p w14:paraId="7FE15D77"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3.</w:t>
            </w:r>
            <w:r w:rsidRPr="00E91608">
              <w:rPr>
                <w:rFonts w:ascii="Times New Roman" w:hAnsi="Times New Roman"/>
                <w:lang w:val="hr-BA" w:eastAsia="hr-BA"/>
              </w:rPr>
              <w:tab/>
              <w:t>Ladica skenera prihvaća nosače na kojima se može postaviti minimalno 6 mikroskopskih stakalaca (ili više) ili minimalno 3 dupla stakla (ili više).</w:t>
            </w:r>
          </w:p>
          <w:p w14:paraId="03CBA8ED"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4.</w:t>
            </w:r>
            <w:r w:rsidRPr="00E91608">
              <w:rPr>
                <w:rFonts w:ascii="Times New Roman" w:hAnsi="Times New Roman"/>
                <w:lang w:val="hr-BA" w:eastAsia="hr-BA"/>
              </w:rPr>
              <w:tab/>
              <w:t>Omogućuje automatsku detekciju tkivnih uzoraka, automatsko očitavanje 1D i 2D barkodova.</w:t>
            </w:r>
          </w:p>
          <w:p w14:paraId="371C47F7"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5.</w:t>
            </w:r>
            <w:r w:rsidRPr="00E91608">
              <w:rPr>
                <w:rFonts w:ascii="Times New Roman" w:hAnsi="Times New Roman"/>
                <w:lang w:val="hr-BA" w:eastAsia="hr-BA"/>
              </w:rPr>
              <w:tab/>
              <w:t>Mogućnost skeniranja u jednom fokusnom sloju, ali skeniranje volumena može se izvršiti i u 7 fokusnih slojeva (ili više).</w:t>
            </w:r>
          </w:p>
          <w:p w14:paraId="5301AD97" w14:textId="134FAF19"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6.</w:t>
            </w:r>
            <w:r w:rsidRPr="00E91608">
              <w:rPr>
                <w:rFonts w:ascii="Times New Roman" w:hAnsi="Times New Roman"/>
                <w:lang w:val="hr-BA" w:eastAsia="hr-BA"/>
              </w:rPr>
              <w:tab/>
              <w:t>Skenirane slike „slide-ova“ generiraju se minimalno u BIF formatu ili ekvivalentnom formatu koji omogućuje potpunu funkcionalnu integraciju sa software-om za menadžment slika iz stavke 3 ov</w:t>
            </w:r>
            <w:r w:rsidR="00FA59BB">
              <w:rPr>
                <w:rFonts w:ascii="Times New Roman" w:hAnsi="Times New Roman"/>
                <w:lang w:val="hr-BA" w:eastAsia="hr-BA"/>
              </w:rPr>
              <w:t>e</w:t>
            </w:r>
            <w:r w:rsidRPr="00E91608">
              <w:rPr>
                <w:rFonts w:ascii="Times New Roman" w:hAnsi="Times New Roman"/>
                <w:lang w:val="hr-BA" w:eastAsia="hr-BA"/>
              </w:rPr>
              <w:t xml:space="preserve"> nabave.</w:t>
            </w:r>
          </w:p>
          <w:p w14:paraId="026D520D"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7.</w:t>
            </w:r>
            <w:r w:rsidRPr="00E91608">
              <w:rPr>
                <w:rFonts w:ascii="Times New Roman" w:hAnsi="Times New Roman"/>
                <w:lang w:val="hr-BA" w:eastAsia="hr-BA"/>
              </w:rPr>
              <w:tab/>
              <w:t>Skener osigurava dosljednu i realističnu reprodukciju boja, uz podršku upravljanja bojama koristeći profil boja kompatibilan s International Color Consortium (ICC) v4.</w:t>
            </w:r>
          </w:p>
          <w:p w14:paraId="36F1682F"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8.</w:t>
            </w:r>
            <w:r w:rsidRPr="00E91608">
              <w:rPr>
                <w:rFonts w:ascii="Times New Roman" w:hAnsi="Times New Roman"/>
                <w:lang w:val="hr-BA" w:eastAsia="hr-BA"/>
              </w:rPr>
              <w:tab/>
              <w:t>software-i / aplikacije sustava skenera omogućuju:</w:t>
            </w:r>
          </w:p>
          <w:p w14:paraId="6636940A"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lastRenderedPageBreak/>
              <w:t>a) Konfiguraciju različitih profila (s postavkama koje će se koristiti pri skeniranju).</w:t>
            </w:r>
          </w:p>
          <w:p w14:paraId="56DA209E"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b) Metodu skeniranja: rutinski kvalitet fokusa i dinamičko prilagođavanje fokusa prema potrebi tijekom skeniranja područja od interesa. Mogućnost auto-prilagođavanja koje podrazumijeva kompenzaciju varijabilnosti tkiva prikupljanjem dodatnih podataka fokusa.</w:t>
            </w:r>
          </w:p>
          <w:p w14:paraId="09223733" w14:textId="2F078DC0"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c) Metodu otkrivanja područja od interesa: mogućnost odabira metode na temelju vrste uzorka. Mogućnost odabira metode za svaku poziciju stakalaca na nosaču za standardne uzorke, uključujući mikroareje, disperzirane uzorke, kružne uzorke, uzorke niskog kontrasta. Mogućnost korisničkog prilagođavanja metoda</w:t>
            </w:r>
            <w:r w:rsidR="00A60086">
              <w:rPr>
                <w:rFonts w:ascii="Times New Roman" w:hAnsi="Times New Roman"/>
                <w:lang w:val="hr-BA" w:eastAsia="hr-BA"/>
              </w:rPr>
              <w:t xml:space="preserve"> području od interesa</w:t>
            </w:r>
            <w:r w:rsidRPr="00E91608">
              <w:rPr>
                <w:rFonts w:ascii="Times New Roman" w:hAnsi="Times New Roman"/>
                <w:lang w:val="hr-BA" w:eastAsia="hr-BA"/>
              </w:rPr>
              <w:t>.</w:t>
            </w:r>
          </w:p>
          <w:p w14:paraId="00AC654A"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d) Automatizirano detektiranje područja od interesa. Minimalna veličina područja od interesa: 750 × 750 μm ili veća.</w:t>
            </w:r>
          </w:p>
          <w:p w14:paraId="70B67F7A"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e) Povećanja: minimalno 20X i 40X.</w:t>
            </w:r>
          </w:p>
          <w:p w14:paraId="244562FC"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f) Definiranje razmaka (minimalno 3 ili više) između fokusnih slojeva, svi jednako ili ispod 1 μm.</w:t>
            </w:r>
          </w:p>
          <w:p w14:paraId="14F31FB6"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g) Spremanje datoteka u lokalni folder ili na server sustava za menadžment slika.</w:t>
            </w:r>
          </w:p>
          <w:p w14:paraId="4E144B81"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h) Automatsko pokretanje skeniranja nakon postavljanja nosača sa stakalcima u skener.</w:t>
            </w:r>
          </w:p>
          <w:p w14:paraId="7BA16B27"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i) Prilagođavanje područja od interesa: minimiziranje praznog (bijelog) područja oko tkiva, mogućnost pomicanja, brisanja i promjene veličine. Fokusna točka može se pomaknuti i može se kreirati dodatno područje od interesa.</w:t>
            </w:r>
          </w:p>
          <w:p w14:paraId="7A98A875"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j) Software za kalibraciju i dijagnostiku omogućava izvođenje kalibracije ili dijagnostičkog testa skenera te pruža informacije o radnjama koje korisnik može poduzeti u slučaju neuspjeha.</w:t>
            </w:r>
          </w:p>
          <w:p w14:paraId="4D8382EB"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k) Skener povremeno tijekom skeniranja izvodi kalibraciju boja (npr. balans bijele boje ili ekvivalent) radi povećanja kvalitete slike i osiguravanja ujednačene svjetline, bez interferiranja s radnim procesom.</w:t>
            </w:r>
          </w:p>
          <w:p w14:paraId="4942594C"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lastRenderedPageBreak/>
              <w:t>9.</w:t>
            </w:r>
            <w:r w:rsidRPr="00E91608">
              <w:rPr>
                <w:rFonts w:ascii="Times New Roman" w:hAnsi="Times New Roman"/>
                <w:lang w:val="hr-BA" w:eastAsia="hr-BA"/>
              </w:rPr>
              <w:tab/>
              <w:t>Skener ispunjava zahtjeve sljedećih regulativa:</w:t>
            </w:r>
          </w:p>
          <w:p w14:paraId="11688FFB"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Regulation (EU) 2017/746 o in vitro dijagnostičkim medicinskim proizvodima</w:t>
            </w:r>
          </w:p>
          <w:p w14:paraId="73683BB7"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Directive 2011/65/EU (RoHS)</w:t>
            </w:r>
          </w:p>
          <w:p w14:paraId="00C7C9C7"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10.</w:t>
            </w:r>
            <w:r w:rsidRPr="00E91608">
              <w:rPr>
                <w:rFonts w:ascii="Times New Roman" w:hAnsi="Times New Roman"/>
                <w:lang w:val="hr-BA" w:eastAsia="hr-BA"/>
              </w:rPr>
              <w:tab/>
              <w:t>Skener mora biti registriran u Agenciji za lijekove i medicinska sredstva BiH.</w:t>
            </w:r>
          </w:p>
          <w:p w14:paraId="0B949929" w14:textId="77777777" w:rsidR="0080084B" w:rsidRPr="00E91608" w:rsidRDefault="0080084B" w:rsidP="0080084B">
            <w:pPr>
              <w:spacing w:after="0"/>
              <w:jc w:val="both"/>
              <w:rPr>
                <w:rFonts w:ascii="Times New Roman" w:hAnsi="Times New Roman"/>
                <w:lang w:val="hr-BA" w:eastAsia="hr-BA"/>
              </w:rPr>
            </w:pPr>
          </w:p>
          <w:p w14:paraId="3923685D" w14:textId="5EC46068" w:rsidR="0080084B" w:rsidRPr="00E91608" w:rsidRDefault="0080084B" w:rsidP="0080084B">
            <w:pPr>
              <w:rPr>
                <w:rFonts w:ascii="Times New Roman" w:hAnsi="Times New Roman"/>
                <w:b/>
                <w:sz w:val="22"/>
                <w:szCs w:val="22"/>
              </w:rPr>
            </w:pPr>
            <w:r w:rsidRPr="00E91608">
              <w:rPr>
                <w:rFonts w:ascii="Times New Roman" w:hAnsi="Times New Roman"/>
                <w:lang w:val="hr-BA" w:eastAsia="hr-BA"/>
              </w:rPr>
              <w:t>Napomena: točka 5 i točka 8f – uvjeti se odnose na minimalne zahtjeve preciznosti skeniranja radi adekvatne interpretacije tkiva</w:t>
            </w:r>
          </w:p>
        </w:tc>
        <w:tc>
          <w:tcPr>
            <w:tcW w:w="4253" w:type="dxa"/>
            <w:shd w:val="clear" w:color="auto" w:fill="FFFFFF" w:themeFill="background1"/>
          </w:tcPr>
          <w:p w14:paraId="1E6796B9" w14:textId="77777777" w:rsidR="0080084B" w:rsidRPr="00E91608" w:rsidRDefault="0080084B" w:rsidP="0080084B">
            <w:pPr>
              <w:tabs>
                <w:tab w:val="left" w:pos="729"/>
              </w:tabs>
              <w:jc w:val="center"/>
              <w:rPr>
                <w:rFonts w:ascii="Times New Roman" w:hAnsi="Times New Roman"/>
                <w:b/>
                <w:sz w:val="22"/>
                <w:szCs w:val="22"/>
              </w:rPr>
            </w:pPr>
          </w:p>
        </w:tc>
        <w:tc>
          <w:tcPr>
            <w:tcW w:w="2835" w:type="dxa"/>
            <w:shd w:val="clear" w:color="auto" w:fill="FFFFFF" w:themeFill="background1"/>
          </w:tcPr>
          <w:p w14:paraId="070DF002" w14:textId="77777777" w:rsidR="0080084B" w:rsidRPr="00E91608" w:rsidRDefault="0080084B" w:rsidP="0080084B">
            <w:pPr>
              <w:tabs>
                <w:tab w:val="left" w:pos="729"/>
              </w:tabs>
              <w:jc w:val="center"/>
              <w:rPr>
                <w:rFonts w:ascii="Times New Roman" w:hAnsi="Times New Roman"/>
                <w:b/>
                <w:sz w:val="22"/>
                <w:szCs w:val="22"/>
                <w:lang w:val="hr-BA"/>
              </w:rPr>
            </w:pPr>
          </w:p>
        </w:tc>
        <w:tc>
          <w:tcPr>
            <w:tcW w:w="1984" w:type="dxa"/>
            <w:shd w:val="clear" w:color="auto" w:fill="FFFFFF" w:themeFill="background1"/>
          </w:tcPr>
          <w:p w14:paraId="3CBD2410" w14:textId="77777777" w:rsidR="0080084B" w:rsidRPr="00E91608" w:rsidRDefault="0080084B" w:rsidP="0080084B">
            <w:pPr>
              <w:tabs>
                <w:tab w:val="left" w:pos="729"/>
              </w:tabs>
              <w:jc w:val="center"/>
              <w:rPr>
                <w:rFonts w:ascii="Times New Roman" w:hAnsi="Times New Roman"/>
                <w:b/>
                <w:sz w:val="22"/>
                <w:szCs w:val="22"/>
                <w:lang w:val="hr-BA"/>
              </w:rPr>
            </w:pPr>
          </w:p>
        </w:tc>
      </w:tr>
      <w:tr w:rsidR="0080084B" w:rsidRPr="00E91608" w14:paraId="4F244BCE" w14:textId="77777777" w:rsidTr="00E75C18">
        <w:trPr>
          <w:cantSplit/>
          <w:trHeight w:val="879"/>
          <w:tblHeader/>
        </w:trPr>
        <w:tc>
          <w:tcPr>
            <w:tcW w:w="738" w:type="dxa"/>
            <w:shd w:val="clear" w:color="auto" w:fill="FFFFFF" w:themeFill="background1"/>
          </w:tcPr>
          <w:p w14:paraId="4742590D" w14:textId="71EFF87E" w:rsidR="0080084B" w:rsidRPr="00E91608" w:rsidRDefault="0080084B" w:rsidP="0080084B">
            <w:pPr>
              <w:jc w:val="center"/>
              <w:rPr>
                <w:rFonts w:ascii="Times New Roman" w:hAnsi="Times New Roman"/>
                <w:b/>
                <w:sz w:val="22"/>
                <w:szCs w:val="22"/>
              </w:rPr>
            </w:pPr>
            <w:r w:rsidRPr="00E91608">
              <w:rPr>
                <w:rFonts w:ascii="Times New Roman" w:hAnsi="Times New Roman"/>
                <w:b/>
                <w:sz w:val="22"/>
                <w:szCs w:val="22"/>
              </w:rPr>
              <w:lastRenderedPageBreak/>
              <w:t>2</w:t>
            </w:r>
            <w:r w:rsidR="00FA59BB">
              <w:rPr>
                <w:rFonts w:ascii="Times New Roman" w:hAnsi="Times New Roman"/>
                <w:b/>
                <w:sz w:val="22"/>
                <w:szCs w:val="22"/>
              </w:rPr>
              <w:t>.</w:t>
            </w:r>
          </w:p>
        </w:tc>
        <w:tc>
          <w:tcPr>
            <w:tcW w:w="5074" w:type="dxa"/>
            <w:shd w:val="clear" w:color="auto" w:fill="FFFFFF" w:themeFill="background1"/>
          </w:tcPr>
          <w:p w14:paraId="7A576E03" w14:textId="6CC8A690" w:rsidR="0080084B" w:rsidRPr="00E91608" w:rsidRDefault="0080084B" w:rsidP="0080084B">
            <w:pPr>
              <w:spacing w:before="0" w:after="0"/>
              <w:jc w:val="both"/>
              <w:rPr>
                <w:rFonts w:ascii="Times New Roman" w:hAnsi="Times New Roman"/>
                <w:b/>
                <w:bCs/>
                <w:snapToGrid/>
                <w:lang w:val="hr-BA" w:eastAsia="hr-BA"/>
              </w:rPr>
            </w:pPr>
            <w:r w:rsidRPr="00E91608">
              <w:rPr>
                <w:rFonts w:ascii="Times New Roman" w:hAnsi="Times New Roman"/>
                <w:b/>
                <w:bCs/>
                <w:snapToGrid/>
                <w:lang w:val="hr-BA" w:eastAsia="hr-BA"/>
              </w:rPr>
              <w:t xml:space="preserve">Nosač patohistoloških stakalaca za skeniranje – 2 </w:t>
            </w:r>
            <w:r w:rsidR="00E91608">
              <w:rPr>
                <w:rFonts w:ascii="Times New Roman" w:hAnsi="Times New Roman"/>
                <w:b/>
                <w:bCs/>
                <w:snapToGrid/>
                <w:lang w:val="hr-BA" w:eastAsia="hr-BA"/>
              </w:rPr>
              <w:t>pakiranja</w:t>
            </w:r>
          </w:p>
          <w:p w14:paraId="072467F2" w14:textId="72FD0601" w:rsidR="0080084B" w:rsidRPr="00E91608" w:rsidRDefault="0080084B" w:rsidP="0080084B">
            <w:pPr>
              <w:spacing w:before="0" w:after="0"/>
              <w:jc w:val="both"/>
              <w:rPr>
                <w:rFonts w:ascii="Times New Roman" w:hAnsi="Times New Roman"/>
                <w:snapToGrid/>
                <w:lang w:val="hr-BA" w:eastAsia="hr-BA"/>
              </w:rPr>
            </w:pPr>
            <w:r w:rsidRPr="00E91608">
              <w:rPr>
                <w:rFonts w:ascii="Times New Roman" w:hAnsi="Times New Roman"/>
                <w:snapToGrid/>
                <w:lang w:val="hr-BA" w:eastAsia="hr-BA"/>
              </w:rPr>
              <w:t>•</w:t>
            </w:r>
            <w:r w:rsidRPr="00E91608">
              <w:rPr>
                <w:rFonts w:ascii="Times New Roman" w:hAnsi="Times New Roman"/>
                <w:snapToGrid/>
                <w:lang w:val="hr-BA" w:eastAsia="hr-BA"/>
              </w:rPr>
              <w:tab/>
              <w:t>Nosač kompatibilan sa skenerom iz stavke 1</w:t>
            </w:r>
            <w:r w:rsidR="00FA59BB">
              <w:rPr>
                <w:rFonts w:ascii="Times New Roman" w:hAnsi="Times New Roman"/>
                <w:snapToGrid/>
                <w:lang w:val="hr-BA" w:eastAsia="hr-BA"/>
              </w:rPr>
              <w:t>.</w:t>
            </w:r>
            <w:r w:rsidRPr="00E91608">
              <w:rPr>
                <w:rFonts w:ascii="Times New Roman" w:hAnsi="Times New Roman"/>
                <w:snapToGrid/>
                <w:lang w:val="hr-BA" w:eastAsia="hr-BA"/>
              </w:rPr>
              <w:t xml:space="preserve"> ove nabave</w:t>
            </w:r>
          </w:p>
          <w:p w14:paraId="1AB47653" w14:textId="77777777" w:rsidR="0080084B" w:rsidRPr="00E91608" w:rsidRDefault="0080084B" w:rsidP="0080084B">
            <w:pPr>
              <w:spacing w:before="0" w:after="0"/>
              <w:jc w:val="both"/>
              <w:rPr>
                <w:rFonts w:ascii="Times New Roman" w:hAnsi="Times New Roman"/>
                <w:snapToGrid/>
                <w:lang w:val="hr-BA" w:eastAsia="hr-BA"/>
              </w:rPr>
            </w:pPr>
            <w:r w:rsidRPr="00E91608">
              <w:rPr>
                <w:rFonts w:ascii="Times New Roman" w:hAnsi="Times New Roman"/>
                <w:snapToGrid/>
                <w:lang w:val="hr-BA" w:eastAsia="hr-BA"/>
              </w:rPr>
              <w:t>•</w:t>
            </w:r>
            <w:r w:rsidRPr="00E91608">
              <w:rPr>
                <w:rFonts w:ascii="Times New Roman" w:hAnsi="Times New Roman"/>
                <w:snapToGrid/>
                <w:lang w:val="hr-BA" w:eastAsia="hr-BA"/>
              </w:rPr>
              <w:tab/>
              <w:t>Na nosač se može postaviti minimalno 6 stakalaca (ili više) ili minimalno 3 dupla stakla (ili više).</w:t>
            </w:r>
          </w:p>
          <w:p w14:paraId="575F192B" w14:textId="182C059A" w:rsidR="0080084B" w:rsidRPr="00E91608" w:rsidRDefault="0080084B" w:rsidP="0080084B">
            <w:pPr>
              <w:spacing w:after="0" w:line="276" w:lineRule="auto"/>
              <w:rPr>
                <w:rFonts w:ascii="Times New Roman" w:hAnsi="Times New Roman"/>
                <w:b/>
                <w:sz w:val="22"/>
                <w:szCs w:val="22"/>
              </w:rPr>
            </w:pPr>
            <w:r w:rsidRPr="00E91608">
              <w:rPr>
                <w:rFonts w:ascii="Times New Roman" w:hAnsi="Times New Roman"/>
                <w:snapToGrid/>
                <w:lang w:val="hr-BA" w:eastAsia="hr-BA"/>
              </w:rPr>
              <w:t>•</w:t>
            </w:r>
            <w:r w:rsidRPr="00E91608">
              <w:rPr>
                <w:rFonts w:ascii="Times New Roman" w:hAnsi="Times New Roman"/>
                <w:snapToGrid/>
                <w:lang w:val="hr-BA" w:eastAsia="hr-BA"/>
              </w:rPr>
              <w:tab/>
              <w:t>Jedno pakiranje sadrži minimalno 5 nosača (ili više).</w:t>
            </w:r>
          </w:p>
        </w:tc>
        <w:tc>
          <w:tcPr>
            <w:tcW w:w="4253" w:type="dxa"/>
            <w:shd w:val="clear" w:color="auto" w:fill="FFFFFF" w:themeFill="background1"/>
          </w:tcPr>
          <w:p w14:paraId="76557177" w14:textId="77777777" w:rsidR="0080084B" w:rsidRPr="00E91608" w:rsidRDefault="0080084B" w:rsidP="0080084B">
            <w:pPr>
              <w:tabs>
                <w:tab w:val="left" w:pos="729"/>
              </w:tabs>
              <w:jc w:val="center"/>
              <w:rPr>
                <w:rFonts w:ascii="Times New Roman" w:hAnsi="Times New Roman"/>
                <w:b/>
                <w:sz w:val="22"/>
                <w:szCs w:val="22"/>
              </w:rPr>
            </w:pPr>
          </w:p>
        </w:tc>
        <w:tc>
          <w:tcPr>
            <w:tcW w:w="2835" w:type="dxa"/>
            <w:shd w:val="clear" w:color="auto" w:fill="FFFFFF" w:themeFill="background1"/>
          </w:tcPr>
          <w:p w14:paraId="46EEE32F" w14:textId="77777777" w:rsidR="0080084B" w:rsidRPr="00E91608" w:rsidRDefault="0080084B" w:rsidP="0080084B">
            <w:pPr>
              <w:tabs>
                <w:tab w:val="left" w:pos="729"/>
              </w:tabs>
              <w:jc w:val="center"/>
              <w:rPr>
                <w:rFonts w:ascii="Times New Roman" w:hAnsi="Times New Roman"/>
                <w:b/>
                <w:sz w:val="22"/>
                <w:szCs w:val="22"/>
                <w:lang w:val="pl-PL"/>
              </w:rPr>
            </w:pPr>
          </w:p>
        </w:tc>
        <w:tc>
          <w:tcPr>
            <w:tcW w:w="1984" w:type="dxa"/>
            <w:shd w:val="clear" w:color="auto" w:fill="FFFFFF" w:themeFill="background1"/>
          </w:tcPr>
          <w:p w14:paraId="558E4CC7" w14:textId="77777777" w:rsidR="0080084B" w:rsidRPr="00E91608" w:rsidRDefault="0080084B" w:rsidP="0080084B">
            <w:pPr>
              <w:tabs>
                <w:tab w:val="left" w:pos="729"/>
              </w:tabs>
              <w:jc w:val="center"/>
              <w:rPr>
                <w:rFonts w:ascii="Times New Roman" w:hAnsi="Times New Roman"/>
                <w:b/>
                <w:sz w:val="22"/>
                <w:szCs w:val="22"/>
                <w:lang w:val="pl-PL"/>
              </w:rPr>
            </w:pPr>
          </w:p>
        </w:tc>
      </w:tr>
      <w:tr w:rsidR="0080084B" w:rsidRPr="00E91608" w14:paraId="2CA04FE7" w14:textId="77777777" w:rsidTr="00740F96">
        <w:trPr>
          <w:cantSplit/>
          <w:trHeight w:val="879"/>
          <w:tblHeader/>
        </w:trPr>
        <w:tc>
          <w:tcPr>
            <w:tcW w:w="738" w:type="dxa"/>
            <w:shd w:val="clear" w:color="auto" w:fill="FFFFFF" w:themeFill="background1"/>
          </w:tcPr>
          <w:p w14:paraId="205BA594" w14:textId="1E1CF0B0" w:rsidR="0080084B" w:rsidRPr="00E91608" w:rsidRDefault="0080084B" w:rsidP="0080084B">
            <w:pPr>
              <w:jc w:val="center"/>
              <w:rPr>
                <w:rFonts w:ascii="Times New Roman" w:hAnsi="Times New Roman"/>
                <w:b/>
                <w:sz w:val="22"/>
                <w:szCs w:val="22"/>
              </w:rPr>
            </w:pPr>
            <w:r w:rsidRPr="00E91608">
              <w:rPr>
                <w:rFonts w:ascii="Times New Roman" w:hAnsi="Times New Roman"/>
                <w:b/>
                <w:sz w:val="22"/>
                <w:szCs w:val="22"/>
              </w:rPr>
              <w:lastRenderedPageBreak/>
              <w:t>3</w:t>
            </w:r>
            <w:r w:rsidR="00FA59BB">
              <w:rPr>
                <w:rFonts w:ascii="Times New Roman" w:hAnsi="Times New Roman"/>
                <w:b/>
                <w:sz w:val="22"/>
                <w:szCs w:val="22"/>
              </w:rPr>
              <w:t>.</w:t>
            </w:r>
          </w:p>
        </w:tc>
        <w:tc>
          <w:tcPr>
            <w:tcW w:w="5074" w:type="dxa"/>
            <w:tcBorders>
              <w:top w:val="single" w:sz="4" w:space="0" w:color="auto"/>
              <w:left w:val="single" w:sz="4" w:space="0" w:color="auto"/>
              <w:bottom w:val="single" w:sz="4" w:space="0" w:color="auto"/>
              <w:right w:val="single" w:sz="4" w:space="0" w:color="auto"/>
            </w:tcBorders>
          </w:tcPr>
          <w:p w14:paraId="19A288E9" w14:textId="0E209279" w:rsidR="0080084B" w:rsidRPr="00E91608" w:rsidRDefault="0080084B" w:rsidP="0080084B">
            <w:pPr>
              <w:spacing w:after="0"/>
              <w:jc w:val="both"/>
              <w:rPr>
                <w:rFonts w:ascii="Times New Roman" w:hAnsi="Times New Roman"/>
                <w:b/>
                <w:bCs/>
                <w:lang w:val="hr-BA" w:eastAsia="hr-BA"/>
              </w:rPr>
            </w:pPr>
            <w:r w:rsidRPr="00E91608">
              <w:rPr>
                <w:rFonts w:ascii="Times New Roman" w:hAnsi="Times New Roman"/>
                <w:b/>
                <w:bCs/>
                <w:lang w:val="hr-BA" w:eastAsia="hr-BA"/>
              </w:rPr>
              <w:t>Software-sko rješenje za menadžment skeniranih slika u digitalnoj patologiji – 1 komad</w:t>
            </w:r>
          </w:p>
          <w:p w14:paraId="0B6B15DC"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Omogućuje pregled i analizu slika skeniranih „slide-ova“.</w:t>
            </w:r>
          </w:p>
          <w:p w14:paraId="263249C7"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Menadžment podataka uključuje upravljanje medicinskim slučajevima, podacima pacijenata, liječnika, korisničkim računima i postavkama lokacija.</w:t>
            </w:r>
          </w:p>
          <w:p w14:paraId="72451B40"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Tok rada patologije uključuje:</w:t>
            </w:r>
          </w:p>
          <w:p w14:paraId="60335CC9"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Pregled i upravljanje slučajevima</w:t>
            </w:r>
          </w:p>
          <w:p w14:paraId="2D7B72A6"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Pregled i analizu „slide-ova“</w:t>
            </w:r>
          </w:p>
          <w:p w14:paraId="73EA05CB"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Generiranje izvještaja</w:t>
            </w:r>
          </w:p>
          <w:p w14:paraId="73ED457D"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Upravljanje slučajevima omogućava:</w:t>
            </w:r>
          </w:p>
          <w:p w14:paraId="708FB947"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Identificiranje i deidentificiranje pacijenta</w:t>
            </w:r>
          </w:p>
          <w:p w14:paraId="54C3D626"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Pregled urgentnih i dodijeljenih slučajeva</w:t>
            </w:r>
          </w:p>
          <w:p w14:paraId="77FB454B"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Promjenu prioriteta slučajeva</w:t>
            </w:r>
          </w:p>
          <w:p w14:paraId="7D9E581C"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Dodjelu hitnog statusa</w:t>
            </w:r>
          </w:p>
          <w:p w14:paraId="3EA732C4"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Slanje slučaja na drugo mišljenje (drugom specijalistu patologije) uz anonimizaciju imena pacijenta</w:t>
            </w:r>
          </w:p>
          <w:p w14:paraId="2F536823"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Pregled i analiza „slide-ova“ obuhvaća:</w:t>
            </w:r>
          </w:p>
          <w:p w14:paraId="2DCEE5E0"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Prikaz slike na glavnom području ekrana</w:t>
            </w:r>
          </w:p>
          <w:p w14:paraId="75559013"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Prikaz mjerenja i povećanje slike (minimalno 40X)</w:t>
            </w:r>
          </w:p>
          <w:p w14:paraId="6E85109A"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Pomicanje slike, promjena povećanja i rotacija (180°)</w:t>
            </w:r>
          </w:p>
          <w:p w14:paraId="01DACCC6"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Slanje bilješke ili slike putem funkcije izvoza</w:t>
            </w:r>
          </w:p>
          <w:p w14:paraId="41EE7FE7"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Primanje informacija o slučaju</w:t>
            </w:r>
          </w:p>
          <w:p w14:paraId="75AD8EB1"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Sinkronizirani pregled minimalno 6 „slide-ova“</w:t>
            </w:r>
          </w:p>
          <w:p w14:paraId="1E4821FA"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Kreiranje regije od interesa (ROI) na slici, dodavanje oznaka (strelice i sl.), mjerenja i tekstualnih napomena; mogućnost ručnog unosa skora</w:t>
            </w:r>
          </w:p>
          <w:p w14:paraId="504C2918"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w:t>
            </w:r>
            <w:r w:rsidRPr="00E91608">
              <w:rPr>
                <w:rFonts w:ascii="Times New Roman" w:hAnsi="Times New Roman"/>
                <w:lang w:val="hr-BA" w:eastAsia="hr-BA"/>
              </w:rPr>
              <w:tab/>
              <w:t>Mogućnost odabira različitih oblika regije od interesa</w:t>
            </w:r>
          </w:p>
          <w:p w14:paraId="14D15D2E"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lastRenderedPageBreak/>
              <w:t>•</w:t>
            </w:r>
            <w:r w:rsidRPr="00E91608">
              <w:rPr>
                <w:rFonts w:ascii="Times New Roman" w:hAnsi="Times New Roman"/>
                <w:lang w:val="hr-BA" w:eastAsia="hr-BA"/>
              </w:rPr>
              <w:tab/>
              <w:t>Ako se analizira više ROI na istom „slide-u“, ukupni rezultat mora biti izračunat kao “slide score” i uključen u izvješće</w:t>
            </w:r>
          </w:p>
          <w:p w14:paraId="3EF070EC"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Slide score prikazuje:</w:t>
            </w:r>
          </w:p>
          <w:p w14:paraId="2928E4F4"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 procjenu kvalitete</w:t>
            </w:r>
          </w:p>
          <w:p w14:paraId="20E4289A"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 ukupan broj stanica</w:t>
            </w:r>
          </w:p>
          <w:p w14:paraId="6BF66C1E"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 broj obojenih stanica</w:t>
            </w:r>
          </w:p>
          <w:p w14:paraId="679EA25F"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 broj neobojenih stanica</w:t>
            </w:r>
          </w:p>
          <w:p w14:paraId="4BC810DF"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 postotak pozitivnosti</w:t>
            </w:r>
          </w:p>
          <w:p w14:paraId="553C063D"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Mjerenje: skala se može prikazati u pikselima (px), mikronima (µm) ili milimetrima (mm), ovisno o konfiguraciji.</w:t>
            </w:r>
          </w:p>
          <w:p w14:paraId="7AC83A15"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Mogućnost izvoza slike uz odabir veličine (minimalni set: Full HD, 4K UHD ili 8K UHD).</w:t>
            </w:r>
          </w:p>
          <w:p w14:paraId="6E69355B" w14:textId="73DD7EA0"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Software-sko rješenje koje se nudi tr</w:t>
            </w:r>
            <w:r w:rsidR="00FA59BB">
              <w:rPr>
                <w:rFonts w:ascii="Times New Roman" w:hAnsi="Times New Roman"/>
                <w:lang w:val="hr-BA" w:eastAsia="hr-BA"/>
              </w:rPr>
              <w:t>e</w:t>
            </w:r>
            <w:r w:rsidRPr="00E91608">
              <w:rPr>
                <w:rFonts w:ascii="Times New Roman" w:hAnsi="Times New Roman"/>
                <w:lang w:val="hr-BA" w:eastAsia="hr-BA"/>
              </w:rPr>
              <w:t>ba imati mogućnost nadogradnje s algoritmina za analizu slike:</w:t>
            </w:r>
          </w:p>
          <w:p w14:paraId="5530DC78"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a)</w:t>
            </w:r>
            <w:r w:rsidRPr="00E91608">
              <w:rPr>
                <w:rFonts w:ascii="Times New Roman" w:hAnsi="Times New Roman"/>
                <w:lang w:val="hr-BA" w:eastAsia="hr-BA"/>
              </w:rPr>
              <w:tab/>
              <w:t xml:space="preserve">Algoritmom dizajniranim kao pomoć u kvantitativnoj procjeni statusa HER2 gena u tkivu obojenim dvobojnom kromogenom in situ hibridizacijom (tkivo se boji IVD testom sljedećih karakteristika: probe HER2 i kromosoma 17 detektiraju se dvobojnom kromogenom in situ hibridizacijom (ISH) na uzorcima tkiva humanog karcinoma dojke i želuca, uključuju i gastroezofagealni spoj, fiksiranim u formalinu i uklopljenim u parafin nakon bojenja na IHH/ISH instrumentu), </w:t>
            </w:r>
          </w:p>
          <w:p w14:paraId="4E86BD89"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b)</w:t>
            </w:r>
            <w:r w:rsidRPr="00E91608">
              <w:rPr>
                <w:rFonts w:ascii="Times New Roman" w:hAnsi="Times New Roman"/>
                <w:lang w:val="hr-BA" w:eastAsia="hr-BA"/>
              </w:rPr>
              <w:tab/>
              <w:t>Algoritmom za pomoć u interpretaciji „slide-ova“ obojenih s IVD protutijelom HER2 (4B5) i</w:t>
            </w:r>
          </w:p>
          <w:p w14:paraId="222217B9"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c)</w:t>
            </w:r>
            <w:r w:rsidRPr="00E91608">
              <w:rPr>
                <w:rFonts w:ascii="Times New Roman" w:hAnsi="Times New Roman"/>
                <w:lang w:val="hr-BA" w:eastAsia="hr-BA"/>
              </w:rPr>
              <w:tab/>
              <w:t xml:space="preserve">Algoritmom za pomoć u interpretaciji „slide-ova“ obojenih s IVD protutijelom PD-L1 (263). </w:t>
            </w:r>
          </w:p>
          <w:p w14:paraId="10F4DDB7" w14:textId="6087BE95"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 xml:space="preserve">Software mora biti kompatibilan sa skenerom iz </w:t>
            </w:r>
            <w:r w:rsidR="00FA59BB">
              <w:rPr>
                <w:rFonts w:ascii="Times New Roman" w:hAnsi="Times New Roman"/>
                <w:lang w:val="hr-BA" w:eastAsia="hr-BA"/>
              </w:rPr>
              <w:t>stavke</w:t>
            </w:r>
            <w:r w:rsidRPr="00E91608">
              <w:rPr>
                <w:rFonts w:ascii="Times New Roman" w:hAnsi="Times New Roman"/>
                <w:lang w:val="hr-BA" w:eastAsia="hr-BA"/>
              </w:rPr>
              <w:t xml:space="preserve"> 1.</w:t>
            </w:r>
          </w:p>
          <w:p w14:paraId="1CEA703A"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Software mora ispunjavati zahtjeve:</w:t>
            </w:r>
          </w:p>
          <w:p w14:paraId="68E02421" w14:textId="77777777"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 xml:space="preserve">„Regulation (EU) 2017/746 of the European Parliament and of the Council of 5 April 2017 on in vitro diagnostic medical </w:t>
            </w:r>
            <w:r w:rsidRPr="00E91608">
              <w:rPr>
                <w:rFonts w:ascii="Times New Roman" w:hAnsi="Times New Roman"/>
                <w:lang w:val="hr-BA" w:eastAsia="hr-BA"/>
              </w:rPr>
              <w:lastRenderedPageBreak/>
              <w:t xml:space="preserve">devices’’ kao i ‘’Directive 98/79/EC and Commission Decision 2010/227/EU’’.; za in vitro dijagnostičku upotrebu. </w:t>
            </w:r>
          </w:p>
          <w:p w14:paraId="469A140E" w14:textId="68AAD241" w:rsidR="0080084B" w:rsidRPr="00E91608" w:rsidRDefault="0080084B" w:rsidP="0080084B">
            <w:pPr>
              <w:spacing w:after="0"/>
              <w:jc w:val="both"/>
              <w:rPr>
                <w:rFonts w:ascii="Times New Roman" w:hAnsi="Times New Roman"/>
                <w:lang w:val="hr-BA" w:eastAsia="hr-BA"/>
              </w:rPr>
            </w:pPr>
            <w:r w:rsidRPr="00E91608">
              <w:rPr>
                <w:rFonts w:ascii="Times New Roman" w:hAnsi="Times New Roman"/>
                <w:lang w:val="hr-BA" w:eastAsia="hr-BA"/>
              </w:rPr>
              <w:t>Licenca mora dopuštati istovremeni rad 10 (ili više) korisnika.</w:t>
            </w:r>
          </w:p>
          <w:p w14:paraId="76EBDAEE" w14:textId="20002C96" w:rsidR="0080084B" w:rsidRPr="00E91608" w:rsidRDefault="0080084B" w:rsidP="00B00CA3">
            <w:pPr>
              <w:spacing w:after="0"/>
              <w:rPr>
                <w:rFonts w:ascii="Times New Roman" w:hAnsi="Times New Roman"/>
                <w:b/>
                <w:sz w:val="22"/>
                <w:szCs w:val="22"/>
              </w:rPr>
            </w:pPr>
            <w:r w:rsidRPr="00E91608">
              <w:rPr>
                <w:rFonts w:ascii="Times New Roman" w:hAnsi="Times New Roman"/>
                <w:lang w:val="hr-BA" w:eastAsia="hr-BA"/>
              </w:rPr>
              <w:t>Napomena: specifikacija je opisana u svrhu interpretacije tkiva na patohistološkim stakalcima prema zahtjevima kompatibilnosti postojeće opreme i testova kojima raspolaže laboratorij (nastavna baza Medicinskog fakulteta Sveučilišta u Mostaru)</w:t>
            </w:r>
          </w:p>
        </w:tc>
        <w:tc>
          <w:tcPr>
            <w:tcW w:w="4253" w:type="dxa"/>
            <w:shd w:val="clear" w:color="auto" w:fill="FFFFFF" w:themeFill="background1"/>
          </w:tcPr>
          <w:p w14:paraId="513AD731" w14:textId="77777777" w:rsidR="0080084B" w:rsidRPr="00E91608" w:rsidRDefault="0080084B" w:rsidP="0080084B">
            <w:pPr>
              <w:tabs>
                <w:tab w:val="left" w:pos="729"/>
              </w:tabs>
              <w:jc w:val="center"/>
              <w:rPr>
                <w:rFonts w:ascii="Times New Roman" w:hAnsi="Times New Roman"/>
                <w:b/>
                <w:sz w:val="22"/>
                <w:szCs w:val="22"/>
              </w:rPr>
            </w:pPr>
          </w:p>
        </w:tc>
        <w:tc>
          <w:tcPr>
            <w:tcW w:w="2835" w:type="dxa"/>
            <w:shd w:val="clear" w:color="auto" w:fill="FFFFFF" w:themeFill="background1"/>
          </w:tcPr>
          <w:p w14:paraId="595E6105" w14:textId="77777777" w:rsidR="0080084B" w:rsidRPr="00E91608" w:rsidRDefault="0080084B" w:rsidP="0080084B">
            <w:pPr>
              <w:tabs>
                <w:tab w:val="left" w:pos="729"/>
              </w:tabs>
              <w:jc w:val="center"/>
              <w:rPr>
                <w:rFonts w:ascii="Times New Roman" w:hAnsi="Times New Roman"/>
                <w:b/>
                <w:sz w:val="22"/>
                <w:szCs w:val="22"/>
                <w:lang w:val="hr-BA"/>
              </w:rPr>
            </w:pPr>
          </w:p>
        </w:tc>
        <w:tc>
          <w:tcPr>
            <w:tcW w:w="1984" w:type="dxa"/>
            <w:shd w:val="clear" w:color="auto" w:fill="FFFFFF" w:themeFill="background1"/>
          </w:tcPr>
          <w:p w14:paraId="14BCDE14" w14:textId="77777777" w:rsidR="0080084B" w:rsidRPr="00E91608" w:rsidRDefault="0080084B" w:rsidP="0080084B">
            <w:pPr>
              <w:tabs>
                <w:tab w:val="left" w:pos="729"/>
              </w:tabs>
              <w:jc w:val="center"/>
              <w:rPr>
                <w:rFonts w:ascii="Times New Roman" w:hAnsi="Times New Roman"/>
                <w:b/>
                <w:sz w:val="22"/>
                <w:szCs w:val="22"/>
                <w:lang w:val="hr-BA"/>
              </w:rPr>
            </w:pPr>
          </w:p>
        </w:tc>
      </w:tr>
      <w:tr w:rsidR="00B00CA3" w:rsidRPr="00E91608" w14:paraId="4F2907BE" w14:textId="77777777" w:rsidTr="00740F96">
        <w:trPr>
          <w:cantSplit/>
          <w:trHeight w:val="879"/>
          <w:tblHeader/>
        </w:trPr>
        <w:tc>
          <w:tcPr>
            <w:tcW w:w="738" w:type="dxa"/>
            <w:shd w:val="clear" w:color="auto" w:fill="FFFFFF" w:themeFill="background1"/>
          </w:tcPr>
          <w:p w14:paraId="3F324D75" w14:textId="77777777" w:rsidR="00B00CA3" w:rsidRPr="00E91608" w:rsidRDefault="00B00CA3" w:rsidP="0080084B">
            <w:pPr>
              <w:jc w:val="center"/>
              <w:rPr>
                <w:rFonts w:ascii="Times New Roman" w:hAnsi="Times New Roman"/>
                <w:b/>
                <w:sz w:val="22"/>
                <w:szCs w:val="22"/>
              </w:rPr>
            </w:pPr>
          </w:p>
        </w:tc>
        <w:tc>
          <w:tcPr>
            <w:tcW w:w="5074" w:type="dxa"/>
            <w:tcBorders>
              <w:top w:val="single" w:sz="4" w:space="0" w:color="auto"/>
              <w:left w:val="single" w:sz="4" w:space="0" w:color="auto"/>
              <w:bottom w:val="single" w:sz="4" w:space="0" w:color="auto"/>
              <w:right w:val="single" w:sz="4" w:space="0" w:color="auto"/>
            </w:tcBorders>
          </w:tcPr>
          <w:p w14:paraId="71361A3C" w14:textId="4CB7FCF7" w:rsidR="00B00CA3" w:rsidRPr="00E91608" w:rsidRDefault="00B00CA3" w:rsidP="00B00CA3">
            <w:pPr>
              <w:spacing w:after="0"/>
              <w:jc w:val="both"/>
              <w:rPr>
                <w:rFonts w:ascii="Times New Roman" w:hAnsi="Times New Roman"/>
                <w:bCs/>
                <w:lang w:val="hr-BA" w:eastAsia="hr-BA"/>
              </w:rPr>
            </w:pPr>
            <w:r w:rsidRPr="00E91608">
              <w:rPr>
                <w:rFonts w:ascii="Times New Roman" w:hAnsi="Times New Roman"/>
                <w:bCs/>
                <w:lang w:val="hr-BA" w:eastAsia="hr-BA"/>
              </w:rPr>
              <w:t>NAPOMENA: Specifikaciju svih proizvoda potrebno je dokazati dokumentima proizvođača ili nositelja zaštitnog znaka (trademark-a)</w:t>
            </w:r>
            <w:r w:rsidR="00A60086">
              <w:rPr>
                <w:rFonts w:ascii="Times New Roman" w:hAnsi="Times New Roman"/>
                <w:bCs/>
                <w:lang w:val="hr-BA" w:eastAsia="hr-BA"/>
              </w:rPr>
              <w:t xml:space="preserve"> software-skog rješenja</w:t>
            </w:r>
            <w:r w:rsidRPr="00E91608">
              <w:rPr>
                <w:rFonts w:ascii="Times New Roman" w:hAnsi="Times New Roman"/>
                <w:bCs/>
                <w:lang w:val="hr-BA" w:eastAsia="hr-BA"/>
              </w:rPr>
              <w:t>.</w:t>
            </w:r>
          </w:p>
          <w:p w14:paraId="43995806" w14:textId="04757F3C" w:rsidR="00B00CA3" w:rsidRDefault="00B00CA3" w:rsidP="00B00CA3">
            <w:pPr>
              <w:spacing w:after="0"/>
              <w:jc w:val="both"/>
              <w:rPr>
                <w:rFonts w:ascii="Times New Roman" w:hAnsi="Times New Roman"/>
                <w:bCs/>
                <w:lang w:val="hr-BA" w:eastAsia="hr-BA"/>
              </w:rPr>
            </w:pPr>
            <w:r w:rsidRPr="00E91608">
              <w:rPr>
                <w:rFonts w:ascii="Times New Roman" w:hAnsi="Times New Roman"/>
                <w:bCs/>
                <w:lang w:val="hr-BA" w:eastAsia="hr-BA"/>
              </w:rPr>
              <w:t>Traži se 24/7 podrška aplikacijskog specijalist</w:t>
            </w:r>
            <w:r w:rsidR="006E3BAC">
              <w:rPr>
                <w:rFonts w:ascii="Times New Roman" w:hAnsi="Times New Roman"/>
                <w:bCs/>
                <w:lang w:val="hr-BA" w:eastAsia="hr-BA"/>
              </w:rPr>
              <w:t>e</w:t>
            </w:r>
            <w:r w:rsidRPr="00E91608">
              <w:rPr>
                <w:rFonts w:ascii="Times New Roman" w:hAnsi="Times New Roman"/>
                <w:bCs/>
                <w:lang w:val="hr-BA" w:eastAsia="hr-BA"/>
              </w:rPr>
              <w:t xml:space="preserve"> u području patologije </w:t>
            </w:r>
            <w:r w:rsidR="006E3BAC">
              <w:rPr>
                <w:rFonts w:ascii="Times New Roman" w:hAnsi="Times New Roman"/>
                <w:bCs/>
                <w:lang w:val="hr-BA" w:eastAsia="hr-BA"/>
              </w:rPr>
              <w:t xml:space="preserve">s radnim iskustvom od </w:t>
            </w:r>
            <w:r w:rsidRPr="00E91608">
              <w:rPr>
                <w:rFonts w:ascii="Times New Roman" w:hAnsi="Times New Roman"/>
                <w:bCs/>
                <w:lang w:val="hr-BA" w:eastAsia="hr-BA"/>
              </w:rPr>
              <w:t>minimalno 5 godina</w:t>
            </w:r>
            <w:r w:rsidR="006E3BAC">
              <w:rPr>
                <w:rFonts w:ascii="Times New Roman" w:hAnsi="Times New Roman"/>
                <w:bCs/>
                <w:lang w:val="hr-BA" w:eastAsia="hr-BA"/>
              </w:rPr>
              <w:t xml:space="preserve">. (Dostaviti izjavu </w:t>
            </w:r>
            <w:r w:rsidR="007A12BE" w:rsidRPr="007A12BE">
              <w:rPr>
                <w:rFonts w:ascii="Times New Roman" w:hAnsi="Times New Roman"/>
                <w:bCs/>
                <w:lang w:val="hr-BA" w:eastAsia="hr-BA"/>
              </w:rPr>
              <w:t xml:space="preserve">na memorandumu </w:t>
            </w:r>
            <w:r w:rsidR="007A12BE">
              <w:rPr>
                <w:rFonts w:ascii="Times New Roman" w:hAnsi="Times New Roman"/>
                <w:bCs/>
                <w:lang w:val="hr-BA" w:eastAsia="hr-BA"/>
              </w:rPr>
              <w:t xml:space="preserve">potpisanu i ovjerenu od strane ovlaštene osobe </w:t>
            </w:r>
            <w:r w:rsidR="006E3BAC">
              <w:rPr>
                <w:rFonts w:ascii="Times New Roman" w:hAnsi="Times New Roman"/>
                <w:bCs/>
                <w:lang w:val="hr-BA" w:eastAsia="hr-BA"/>
              </w:rPr>
              <w:t xml:space="preserve">ponuditelja da ponuditelj može osigurati aplikacijskog specijalistu </w:t>
            </w:r>
            <w:r w:rsidR="006E3BAC" w:rsidRPr="006E3BAC">
              <w:rPr>
                <w:rFonts w:ascii="Times New Roman" w:hAnsi="Times New Roman"/>
                <w:bCs/>
                <w:lang w:val="hr-BA" w:eastAsia="hr-BA"/>
              </w:rPr>
              <w:t xml:space="preserve">u području patologije s radnim iskustvom od minimalno 5 godina </w:t>
            </w:r>
            <w:r w:rsidR="006E3BAC">
              <w:rPr>
                <w:rFonts w:ascii="Times New Roman" w:hAnsi="Times New Roman"/>
                <w:bCs/>
                <w:lang w:val="hr-BA" w:eastAsia="hr-BA"/>
              </w:rPr>
              <w:t>u roku od 24 sata od upućivanja poziva/e-maila odnosno iskaza potrebe ugovornog tijela)</w:t>
            </w:r>
            <w:r w:rsidRPr="00E91608">
              <w:rPr>
                <w:rFonts w:ascii="Times New Roman" w:hAnsi="Times New Roman"/>
                <w:bCs/>
                <w:lang w:val="hr-BA" w:eastAsia="hr-BA"/>
              </w:rPr>
              <w:t>.</w:t>
            </w:r>
          </w:p>
          <w:p w14:paraId="07D24C5C" w14:textId="64907B51" w:rsidR="00B00CA3" w:rsidRPr="00E91608" w:rsidRDefault="00B00CA3" w:rsidP="00B00CA3">
            <w:pPr>
              <w:spacing w:after="0"/>
              <w:jc w:val="both"/>
              <w:rPr>
                <w:rFonts w:ascii="Times New Roman" w:hAnsi="Times New Roman"/>
                <w:b/>
                <w:bCs/>
                <w:lang w:val="hr-BA" w:eastAsia="hr-BA"/>
              </w:rPr>
            </w:pPr>
            <w:r w:rsidRPr="00E91608">
              <w:rPr>
                <w:rFonts w:ascii="Times New Roman" w:hAnsi="Times New Roman"/>
                <w:bCs/>
                <w:lang w:val="hr-BA" w:eastAsia="hr-BA"/>
              </w:rPr>
              <w:t>Dostaviti certifikate aplikacijskog specijaliste o završenoj obuci za skener i soft</w:t>
            </w:r>
            <w:r w:rsidR="00A60086">
              <w:rPr>
                <w:rFonts w:ascii="Times New Roman" w:hAnsi="Times New Roman"/>
                <w:bCs/>
                <w:lang w:val="hr-BA" w:eastAsia="hr-BA"/>
              </w:rPr>
              <w:t>ware</w:t>
            </w:r>
            <w:r w:rsidRPr="00E91608">
              <w:rPr>
                <w:rFonts w:ascii="Times New Roman" w:hAnsi="Times New Roman"/>
                <w:bCs/>
                <w:lang w:val="hr-BA" w:eastAsia="hr-BA"/>
              </w:rPr>
              <w:t xml:space="preserve"> za menadžment skeniranih slika, izdane od proizvođača ili nositelja zaštitnog znaka (trademark-a) sof</w:t>
            </w:r>
            <w:r w:rsidR="00A60086">
              <w:rPr>
                <w:rFonts w:ascii="Times New Roman" w:hAnsi="Times New Roman"/>
                <w:bCs/>
                <w:lang w:val="hr-BA" w:eastAsia="hr-BA"/>
              </w:rPr>
              <w:t>tware-skog rješenja</w:t>
            </w:r>
            <w:r w:rsidRPr="00E91608">
              <w:rPr>
                <w:rFonts w:ascii="Times New Roman" w:hAnsi="Times New Roman"/>
                <w:bCs/>
                <w:lang w:val="hr-BA" w:eastAsia="hr-BA"/>
              </w:rPr>
              <w:t>.</w:t>
            </w:r>
          </w:p>
        </w:tc>
        <w:tc>
          <w:tcPr>
            <w:tcW w:w="4253" w:type="dxa"/>
            <w:shd w:val="clear" w:color="auto" w:fill="FFFFFF" w:themeFill="background1"/>
          </w:tcPr>
          <w:p w14:paraId="29C82A82" w14:textId="77777777" w:rsidR="00B00CA3" w:rsidRPr="00E91608" w:rsidRDefault="00B00CA3" w:rsidP="0080084B">
            <w:pPr>
              <w:tabs>
                <w:tab w:val="left" w:pos="729"/>
              </w:tabs>
              <w:jc w:val="center"/>
              <w:rPr>
                <w:rFonts w:ascii="Times New Roman" w:hAnsi="Times New Roman"/>
                <w:b/>
                <w:sz w:val="22"/>
                <w:szCs w:val="22"/>
              </w:rPr>
            </w:pPr>
          </w:p>
        </w:tc>
        <w:tc>
          <w:tcPr>
            <w:tcW w:w="2835" w:type="dxa"/>
            <w:shd w:val="clear" w:color="auto" w:fill="FFFFFF" w:themeFill="background1"/>
          </w:tcPr>
          <w:p w14:paraId="7F1382D5" w14:textId="77777777" w:rsidR="00B00CA3" w:rsidRPr="00E91608" w:rsidRDefault="00B00CA3" w:rsidP="0080084B">
            <w:pPr>
              <w:tabs>
                <w:tab w:val="left" w:pos="729"/>
              </w:tabs>
              <w:jc w:val="center"/>
              <w:rPr>
                <w:rFonts w:ascii="Times New Roman" w:hAnsi="Times New Roman"/>
                <w:b/>
                <w:sz w:val="22"/>
                <w:szCs w:val="22"/>
                <w:lang w:val="hr-BA"/>
              </w:rPr>
            </w:pPr>
          </w:p>
        </w:tc>
        <w:tc>
          <w:tcPr>
            <w:tcW w:w="1984" w:type="dxa"/>
            <w:shd w:val="clear" w:color="auto" w:fill="FFFFFF" w:themeFill="background1"/>
          </w:tcPr>
          <w:p w14:paraId="2A8F1BC4" w14:textId="77777777" w:rsidR="00B00CA3" w:rsidRPr="00E91608" w:rsidRDefault="00B00CA3" w:rsidP="0080084B">
            <w:pPr>
              <w:tabs>
                <w:tab w:val="left" w:pos="729"/>
              </w:tabs>
              <w:jc w:val="center"/>
              <w:rPr>
                <w:rFonts w:ascii="Times New Roman" w:hAnsi="Times New Roman"/>
                <w:b/>
                <w:sz w:val="22"/>
                <w:szCs w:val="22"/>
                <w:lang w:val="hr-BA"/>
              </w:rPr>
            </w:pPr>
          </w:p>
        </w:tc>
      </w:tr>
    </w:tbl>
    <w:p w14:paraId="2B5D50B3" w14:textId="77777777" w:rsidR="00104DB7" w:rsidRPr="00E91608" w:rsidRDefault="00104DB7" w:rsidP="005C4176">
      <w:pPr>
        <w:spacing w:before="0"/>
        <w:ind w:left="567" w:hanging="567"/>
        <w:rPr>
          <w:rFonts w:ascii="Times New Roman" w:hAnsi="Times New Roman"/>
          <w:lang w:val="hr-BA"/>
        </w:rPr>
      </w:pPr>
    </w:p>
    <w:p w14:paraId="35EDABA2" w14:textId="77777777" w:rsidR="00104DB7" w:rsidRPr="00E91608" w:rsidRDefault="00104DB7" w:rsidP="00D10EF9">
      <w:pPr>
        <w:rPr>
          <w:rFonts w:ascii="Times New Roman" w:hAnsi="Times New Roman"/>
          <w:sz w:val="22"/>
          <w:szCs w:val="22"/>
          <w:lang w:val="hr-BA"/>
        </w:rPr>
      </w:pPr>
    </w:p>
    <w:sectPr w:rsidR="00104DB7" w:rsidRPr="00E91608" w:rsidSect="00D10EF9">
      <w:head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0D2D7" w14:textId="77777777" w:rsidR="00940107" w:rsidRDefault="00940107">
      <w:r>
        <w:separator/>
      </w:r>
    </w:p>
  </w:endnote>
  <w:endnote w:type="continuationSeparator" w:id="0">
    <w:p w14:paraId="54BE259F" w14:textId="77777777" w:rsidR="00940107" w:rsidRDefault="00940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Up">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5A23E" w14:textId="77777777" w:rsidR="00940107" w:rsidRDefault="00940107">
      <w:r>
        <w:separator/>
      </w:r>
    </w:p>
  </w:footnote>
  <w:footnote w:type="continuationSeparator" w:id="0">
    <w:p w14:paraId="3759732E" w14:textId="77777777" w:rsidR="00940107" w:rsidRDefault="00940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D607" w14:textId="58A2AB69" w:rsidR="00F66567" w:rsidRDefault="00F66567" w:rsidP="007970FC">
    <w:pPr>
      <w:rPr>
        <w:b/>
        <w:bCs/>
        <w:lang w:val="en-GB"/>
      </w:rPr>
    </w:pPr>
    <w:r>
      <w:rPr>
        <w:rFonts w:ascii="Times New Roman" w:hAnsi="Times New Roman"/>
        <w:b/>
        <w:bCs/>
        <w:noProof/>
        <w:color w:val="000000"/>
      </w:rPr>
      <w:drawing>
        <wp:inline distT="0" distB="0" distL="0" distR="0" wp14:anchorId="7396B282" wp14:editId="774B1D7C">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3A62E60"/>
    <w:multiLevelType w:val="multilevel"/>
    <w:tmpl w:val="87A68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A9A33CE"/>
    <w:multiLevelType w:val="multilevel"/>
    <w:tmpl w:val="58508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3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85408414">
    <w:abstractNumId w:val="7"/>
  </w:num>
  <w:num w:numId="2" w16cid:durableId="1435401617">
    <w:abstractNumId w:val="38"/>
  </w:num>
  <w:num w:numId="3" w16cid:durableId="1803766365">
    <w:abstractNumId w:val="6"/>
  </w:num>
  <w:num w:numId="4" w16cid:durableId="214588926">
    <w:abstractNumId w:val="31"/>
  </w:num>
  <w:num w:numId="5" w16cid:durableId="1585871052">
    <w:abstractNumId w:val="25"/>
  </w:num>
  <w:num w:numId="6" w16cid:durableId="1855878100">
    <w:abstractNumId w:val="20"/>
  </w:num>
  <w:num w:numId="7" w16cid:durableId="1455172729">
    <w:abstractNumId w:val="18"/>
  </w:num>
  <w:num w:numId="8" w16cid:durableId="1291588454">
    <w:abstractNumId w:val="24"/>
  </w:num>
  <w:num w:numId="9" w16cid:durableId="505898046">
    <w:abstractNumId w:val="45"/>
  </w:num>
  <w:num w:numId="10" w16cid:durableId="320433114">
    <w:abstractNumId w:val="12"/>
  </w:num>
  <w:num w:numId="11" w16cid:durableId="2146922337">
    <w:abstractNumId w:val="13"/>
  </w:num>
  <w:num w:numId="12" w16cid:durableId="648823048">
    <w:abstractNumId w:val="15"/>
  </w:num>
  <w:num w:numId="13" w16cid:durableId="1658454831">
    <w:abstractNumId w:val="30"/>
  </w:num>
  <w:num w:numId="14" w16cid:durableId="125126148">
    <w:abstractNumId w:val="35"/>
  </w:num>
  <w:num w:numId="15" w16cid:durableId="1285237808">
    <w:abstractNumId w:val="40"/>
  </w:num>
  <w:num w:numId="16" w16cid:durableId="1792048946">
    <w:abstractNumId w:val="8"/>
  </w:num>
  <w:num w:numId="17" w16cid:durableId="287006959">
    <w:abstractNumId w:val="23"/>
  </w:num>
  <w:num w:numId="18" w16cid:durableId="1243375531">
    <w:abstractNumId w:val="28"/>
  </w:num>
  <w:num w:numId="19" w16cid:durableId="1226528096">
    <w:abstractNumId w:val="34"/>
  </w:num>
  <w:num w:numId="20" w16cid:durableId="1995598624">
    <w:abstractNumId w:val="10"/>
  </w:num>
  <w:num w:numId="21" w16cid:durableId="1792018649">
    <w:abstractNumId w:val="26"/>
  </w:num>
  <w:num w:numId="22" w16cid:durableId="374233710">
    <w:abstractNumId w:val="16"/>
  </w:num>
  <w:num w:numId="23" w16cid:durableId="1098716678">
    <w:abstractNumId w:val="19"/>
  </w:num>
  <w:num w:numId="24" w16cid:durableId="964309465">
    <w:abstractNumId w:val="37"/>
  </w:num>
  <w:num w:numId="25" w16cid:durableId="1685740460">
    <w:abstractNumId w:val="22"/>
  </w:num>
  <w:num w:numId="26" w16cid:durableId="1343358522">
    <w:abstractNumId w:val="21"/>
  </w:num>
  <w:num w:numId="27" w16cid:durableId="1370833193">
    <w:abstractNumId w:val="41"/>
  </w:num>
  <w:num w:numId="28" w16cid:durableId="1157843666">
    <w:abstractNumId w:val="43"/>
  </w:num>
  <w:num w:numId="29" w16cid:durableId="159198459">
    <w:abstractNumId w:val="1"/>
  </w:num>
  <w:num w:numId="30" w16cid:durableId="250893369">
    <w:abstractNumId w:val="36"/>
  </w:num>
  <w:num w:numId="31" w16cid:durableId="1087384304">
    <w:abstractNumId w:val="32"/>
  </w:num>
  <w:num w:numId="32" w16cid:durableId="280887424">
    <w:abstractNumId w:val="4"/>
  </w:num>
  <w:num w:numId="33" w16cid:durableId="286012655">
    <w:abstractNumId w:val="5"/>
  </w:num>
  <w:num w:numId="34" w16cid:durableId="111752237">
    <w:abstractNumId w:val="3"/>
  </w:num>
  <w:num w:numId="35" w16cid:durableId="2054230376">
    <w:abstractNumId w:val="0"/>
  </w:num>
  <w:num w:numId="36" w16cid:durableId="184369070">
    <w:abstractNumId w:val="33"/>
  </w:num>
  <w:num w:numId="37" w16cid:durableId="356195183">
    <w:abstractNumId w:val="44"/>
  </w:num>
  <w:num w:numId="38" w16cid:durableId="1125657996">
    <w:abstractNumId w:val="9"/>
  </w:num>
  <w:num w:numId="39" w16cid:durableId="5714595">
    <w:abstractNumId w:val="11"/>
  </w:num>
  <w:num w:numId="40" w16cid:durableId="1001392433">
    <w:abstractNumId w:val="17"/>
  </w:num>
  <w:num w:numId="41" w16cid:durableId="1728383725">
    <w:abstractNumId w:val="2"/>
  </w:num>
  <w:num w:numId="42" w16cid:durableId="1057024">
    <w:abstractNumId w:val="42"/>
  </w:num>
  <w:num w:numId="43" w16cid:durableId="754015704">
    <w:abstractNumId w:val="29"/>
  </w:num>
  <w:num w:numId="44" w16cid:durableId="52971265">
    <w:abstractNumId w:val="14"/>
  </w:num>
  <w:num w:numId="45" w16cid:durableId="135175650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63B6"/>
    <w:rsid w:val="00034B1D"/>
    <w:rsid w:val="00040CF1"/>
    <w:rsid w:val="00041516"/>
    <w:rsid w:val="000417E2"/>
    <w:rsid w:val="00043159"/>
    <w:rsid w:val="00043277"/>
    <w:rsid w:val="00051DD7"/>
    <w:rsid w:val="00055F40"/>
    <w:rsid w:val="00056EAA"/>
    <w:rsid w:val="00063C56"/>
    <w:rsid w:val="000714BB"/>
    <w:rsid w:val="000726B9"/>
    <w:rsid w:val="00085CA1"/>
    <w:rsid w:val="00087F35"/>
    <w:rsid w:val="0009286D"/>
    <w:rsid w:val="000A7A2C"/>
    <w:rsid w:val="000B1236"/>
    <w:rsid w:val="000B6140"/>
    <w:rsid w:val="000B6147"/>
    <w:rsid w:val="000C4AE6"/>
    <w:rsid w:val="000C5D91"/>
    <w:rsid w:val="000D24E3"/>
    <w:rsid w:val="000D2B44"/>
    <w:rsid w:val="000D40DB"/>
    <w:rsid w:val="000E7B75"/>
    <w:rsid w:val="000F3878"/>
    <w:rsid w:val="000F56D4"/>
    <w:rsid w:val="000F5F5F"/>
    <w:rsid w:val="000F672D"/>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130F"/>
    <w:rsid w:val="00153236"/>
    <w:rsid w:val="001536B3"/>
    <w:rsid w:val="00157DEE"/>
    <w:rsid w:val="001766D9"/>
    <w:rsid w:val="00181980"/>
    <w:rsid w:val="00187253"/>
    <w:rsid w:val="001932AF"/>
    <w:rsid w:val="001937B4"/>
    <w:rsid w:val="001A3CB9"/>
    <w:rsid w:val="001B5454"/>
    <w:rsid w:val="001D0532"/>
    <w:rsid w:val="001E1BA5"/>
    <w:rsid w:val="001E4648"/>
    <w:rsid w:val="001F5421"/>
    <w:rsid w:val="00211E0F"/>
    <w:rsid w:val="00216F0D"/>
    <w:rsid w:val="002209F1"/>
    <w:rsid w:val="00220BF7"/>
    <w:rsid w:val="00224C44"/>
    <w:rsid w:val="00224E7F"/>
    <w:rsid w:val="00235883"/>
    <w:rsid w:val="002426D3"/>
    <w:rsid w:val="002442B7"/>
    <w:rsid w:val="002560BB"/>
    <w:rsid w:val="002561C8"/>
    <w:rsid w:val="0026512B"/>
    <w:rsid w:val="0026542C"/>
    <w:rsid w:val="00271700"/>
    <w:rsid w:val="0028364A"/>
    <w:rsid w:val="00294190"/>
    <w:rsid w:val="002A0041"/>
    <w:rsid w:val="002A10F1"/>
    <w:rsid w:val="002B0798"/>
    <w:rsid w:val="002B2152"/>
    <w:rsid w:val="002B6401"/>
    <w:rsid w:val="002C649A"/>
    <w:rsid w:val="002D2FC0"/>
    <w:rsid w:val="002F1222"/>
    <w:rsid w:val="00301346"/>
    <w:rsid w:val="0030264D"/>
    <w:rsid w:val="0030325F"/>
    <w:rsid w:val="0030381F"/>
    <w:rsid w:val="00322263"/>
    <w:rsid w:val="003308C6"/>
    <w:rsid w:val="003409B8"/>
    <w:rsid w:val="00347B7E"/>
    <w:rsid w:val="003502E9"/>
    <w:rsid w:val="00351351"/>
    <w:rsid w:val="00356AD6"/>
    <w:rsid w:val="00360344"/>
    <w:rsid w:val="003613D2"/>
    <w:rsid w:val="0036173C"/>
    <w:rsid w:val="00362213"/>
    <w:rsid w:val="00362E9B"/>
    <w:rsid w:val="00371851"/>
    <w:rsid w:val="00371F01"/>
    <w:rsid w:val="003721AD"/>
    <w:rsid w:val="00380975"/>
    <w:rsid w:val="00384BAB"/>
    <w:rsid w:val="00387C56"/>
    <w:rsid w:val="00396F1B"/>
    <w:rsid w:val="003B292D"/>
    <w:rsid w:val="003B56E5"/>
    <w:rsid w:val="003D3CAA"/>
    <w:rsid w:val="003D7611"/>
    <w:rsid w:val="003E10CF"/>
    <w:rsid w:val="003E559F"/>
    <w:rsid w:val="003F2FA4"/>
    <w:rsid w:val="003F3B51"/>
    <w:rsid w:val="003F7DB7"/>
    <w:rsid w:val="0040221E"/>
    <w:rsid w:val="00420666"/>
    <w:rsid w:val="0042339E"/>
    <w:rsid w:val="00426276"/>
    <w:rsid w:val="004300D4"/>
    <w:rsid w:val="004316F0"/>
    <w:rsid w:val="00440A72"/>
    <w:rsid w:val="004554CB"/>
    <w:rsid w:val="004775D2"/>
    <w:rsid w:val="00483E26"/>
    <w:rsid w:val="00496BB4"/>
    <w:rsid w:val="004A7ED9"/>
    <w:rsid w:val="004C35B5"/>
    <w:rsid w:val="004C73B6"/>
    <w:rsid w:val="004D2FD8"/>
    <w:rsid w:val="004D63CF"/>
    <w:rsid w:val="004E1A4E"/>
    <w:rsid w:val="004F5C57"/>
    <w:rsid w:val="00501FF0"/>
    <w:rsid w:val="005108FD"/>
    <w:rsid w:val="0051513E"/>
    <w:rsid w:val="005348FF"/>
    <w:rsid w:val="00535826"/>
    <w:rsid w:val="00536B4A"/>
    <w:rsid w:val="00543F1F"/>
    <w:rsid w:val="00575CB0"/>
    <w:rsid w:val="0058512B"/>
    <w:rsid w:val="00591F23"/>
    <w:rsid w:val="00593550"/>
    <w:rsid w:val="005B2018"/>
    <w:rsid w:val="005C0EA1"/>
    <w:rsid w:val="005C4176"/>
    <w:rsid w:val="005D2116"/>
    <w:rsid w:val="005D2717"/>
    <w:rsid w:val="005D3833"/>
    <w:rsid w:val="005F3C51"/>
    <w:rsid w:val="005F62D0"/>
    <w:rsid w:val="006135A9"/>
    <w:rsid w:val="006311FE"/>
    <w:rsid w:val="00633829"/>
    <w:rsid w:val="006408AC"/>
    <w:rsid w:val="0066519D"/>
    <w:rsid w:val="00670C3D"/>
    <w:rsid w:val="00677500"/>
    <w:rsid w:val="0068247E"/>
    <w:rsid w:val="006917B2"/>
    <w:rsid w:val="00694D46"/>
    <w:rsid w:val="006B0AB1"/>
    <w:rsid w:val="006B5A0E"/>
    <w:rsid w:val="006C2F05"/>
    <w:rsid w:val="006E3BAC"/>
    <w:rsid w:val="006E56FD"/>
    <w:rsid w:val="006E6880"/>
    <w:rsid w:val="006F137B"/>
    <w:rsid w:val="006F4F49"/>
    <w:rsid w:val="00702D85"/>
    <w:rsid w:val="00711C72"/>
    <w:rsid w:val="0073450F"/>
    <w:rsid w:val="0075384B"/>
    <w:rsid w:val="0075465B"/>
    <w:rsid w:val="00777E99"/>
    <w:rsid w:val="0078178B"/>
    <w:rsid w:val="007831CE"/>
    <w:rsid w:val="00792A1B"/>
    <w:rsid w:val="007970FC"/>
    <w:rsid w:val="007A12BE"/>
    <w:rsid w:val="007B65DB"/>
    <w:rsid w:val="007C0BDD"/>
    <w:rsid w:val="007C1656"/>
    <w:rsid w:val="007C75E0"/>
    <w:rsid w:val="007D228F"/>
    <w:rsid w:val="007D5FA2"/>
    <w:rsid w:val="007E3D5F"/>
    <w:rsid w:val="007E53F9"/>
    <w:rsid w:val="007F13C5"/>
    <w:rsid w:val="0080084B"/>
    <w:rsid w:val="00806CE0"/>
    <w:rsid w:val="00811F58"/>
    <w:rsid w:val="00822CBC"/>
    <w:rsid w:val="008240EA"/>
    <w:rsid w:val="008512E1"/>
    <w:rsid w:val="00853F9D"/>
    <w:rsid w:val="008552E8"/>
    <w:rsid w:val="0085667F"/>
    <w:rsid w:val="008617F3"/>
    <w:rsid w:val="008766DD"/>
    <w:rsid w:val="008808CB"/>
    <w:rsid w:val="00882B76"/>
    <w:rsid w:val="008859E6"/>
    <w:rsid w:val="008A39B7"/>
    <w:rsid w:val="008A553E"/>
    <w:rsid w:val="008B5A9D"/>
    <w:rsid w:val="008D4F38"/>
    <w:rsid w:val="008E21AF"/>
    <w:rsid w:val="008E40E2"/>
    <w:rsid w:val="008F198A"/>
    <w:rsid w:val="00920A51"/>
    <w:rsid w:val="00922542"/>
    <w:rsid w:val="0093582A"/>
    <w:rsid w:val="00940107"/>
    <w:rsid w:val="009456F1"/>
    <w:rsid w:val="0094670B"/>
    <w:rsid w:val="00976745"/>
    <w:rsid w:val="00980A42"/>
    <w:rsid w:val="009976B3"/>
    <w:rsid w:val="009A3792"/>
    <w:rsid w:val="009B0CF1"/>
    <w:rsid w:val="009B2F1F"/>
    <w:rsid w:val="009B422E"/>
    <w:rsid w:val="009B4D6F"/>
    <w:rsid w:val="009C0E86"/>
    <w:rsid w:val="009C359E"/>
    <w:rsid w:val="009D2938"/>
    <w:rsid w:val="009E23C0"/>
    <w:rsid w:val="009E6BB7"/>
    <w:rsid w:val="009F1BCE"/>
    <w:rsid w:val="00A039CA"/>
    <w:rsid w:val="00A04476"/>
    <w:rsid w:val="00A05CFE"/>
    <w:rsid w:val="00A120A1"/>
    <w:rsid w:val="00A20F50"/>
    <w:rsid w:val="00A37F7F"/>
    <w:rsid w:val="00A47856"/>
    <w:rsid w:val="00A512C9"/>
    <w:rsid w:val="00A539E4"/>
    <w:rsid w:val="00A5762A"/>
    <w:rsid w:val="00A57B88"/>
    <w:rsid w:val="00A60086"/>
    <w:rsid w:val="00A62073"/>
    <w:rsid w:val="00A63E3C"/>
    <w:rsid w:val="00A75650"/>
    <w:rsid w:val="00A7693B"/>
    <w:rsid w:val="00AA24A4"/>
    <w:rsid w:val="00AA4E3B"/>
    <w:rsid w:val="00AB29A9"/>
    <w:rsid w:val="00AB66A5"/>
    <w:rsid w:val="00AC0177"/>
    <w:rsid w:val="00AC7636"/>
    <w:rsid w:val="00AD1B8E"/>
    <w:rsid w:val="00AD3FB8"/>
    <w:rsid w:val="00AE6600"/>
    <w:rsid w:val="00AE7654"/>
    <w:rsid w:val="00AE7D13"/>
    <w:rsid w:val="00AF4052"/>
    <w:rsid w:val="00AF7EE8"/>
    <w:rsid w:val="00B00CA3"/>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F7D14"/>
    <w:rsid w:val="00C12AF0"/>
    <w:rsid w:val="00C13C29"/>
    <w:rsid w:val="00C17310"/>
    <w:rsid w:val="00C174BC"/>
    <w:rsid w:val="00C20144"/>
    <w:rsid w:val="00C23B17"/>
    <w:rsid w:val="00C302E1"/>
    <w:rsid w:val="00C3235B"/>
    <w:rsid w:val="00C34E40"/>
    <w:rsid w:val="00C36B04"/>
    <w:rsid w:val="00C4214C"/>
    <w:rsid w:val="00C42256"/>
    <w:rsid w:val="00C55B44"/>
    <w:rsid w:val="00C570FD"/>
    <w:rsid w:val="00C61312"/>
    <w:rsid w:val="00C62A7A"/>
    <w:rsid w:val="00C65650"/>
    <w:rsid w:val="00C720C8"/>
    <w:rsid w:val="00C75CCE"/>
    <w:rsid w:val="00C92434"/>
    <w:rsid w:val="00CA1354"/>
    <w:rsid w:val="00CA6C68"/>
    <w:rsid w:val="00CC7DE2"/>
    <w:rsid w:val="00CD7F25"/>
    <w:rsid w:val="00CF6CFA"/>
    <w:rsid w:val="00CF7AAC"/>
    <w:rsid w:val="00D10EF9"/>
    <w:rsid w:val="00D24893"/>
    <w:rsid w:val="00D43612"/>
    <w:rsid w:val="00D514AA"/>
    <w:rsid w:val="00D52CBF"/>
    <w:rsid w:val="00D576CA"/>
    <w:rsid w:val="00D66F04"/>
    <w:rsid w:val="00D75213"/>
    <w:rsid w:val="00D83D1B"/>
    <w:rsid w:val="00D979C6"/>
    <w:rsid w:val="00DA4AB8"/>
    <w:rsid w:val="00DB3C0F"/>
    <w:rsid w:val="00DB611E"/>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75C18"/>
    <w:rsid w:val="00E811F3"/>
    <w:rsid w:val="00E85F91"/>
    <w:rsid w:val="00E91608"/>
    <w:rsid w:val="00E91F6E"/>
    <w:rsid w:val="00E92A2A"/>
    <w:rsid w:val="00EB4039"/>
    <w:rsid w:val="00EC33E4"/>
    <w:rsid w:val="00EE0ED9"/>
    <w:rsid w:val="00EE2E55"/>
    <w:rsid w:val="00F01BB4"/>
    <w:rsid w:val="00F02006"/>
    <w:rsid w:val="00F0574A"/>
    <w:rsid w:val="00F12A62"/>
    <w:rsid w:val="00F15393"/>
    <w:rsid w:val="00F1654F"/>
    <w:rsid w:val="00F228B1"/>
    <w:rsid w:val="00F25BC8"/>
    <w:rsid w:val="00F33A99"/>
    <w:rsid w:val="00F35836"/>
    <w:rsid w:val="00F53DB6"/>
    <w:rsid w:val="00F56D4C"/>
    <w:rsid w:val="00F658F3"/>
    <w:rsid w:val="00F66567"/>
    <w:rsid w:val="00F8016B"/>
    <w:rsid w:val="00F804E1"/>
    <w:rsid w:val="00F87F88"/>
    <w:rsid w:val="00F90A9F"/>
    <w:rsid w:val="00F91104"/>
    <w:rsid w:val="00F91DF6"/>
    <w:rsid w:val="00F9339D"/>
    <w:rsid w:val="00F962E3"/>
    <w:rsid w:val="00FA3F66"/>
    <w:rsid w:val="00FA59BB"/>
    <w:rsid w:val="00FB076C"/>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Naslov1">
    <w:name w:val="heading 1"/>
    <w:basedOn w:val="Normal"/>
    <w:next w:val="Normal"/>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qFormat/>
    <w:pPr>
      <w:keepNext/>
      <w:outlineLvl w:val="1"/>
    </w:pPr>
    <w:rPr>
      <w:lang w:val="fr-BE"/>
    </w:rPr>
  </w:style>
  <w:style w:type="paragraph" w:styleId="Naslov3">
    <w:name w:val="heading 3"/>
    <w:basedOn w:val="Normal"/>
    <w:next w:val="Normal"/>
    <w:qFormat/>
    <w:pPr>
      <w:keepNext/>
      <w:framePr w:hSpace="181" w:vSpace="181" w:wrap="auto" w:vAnchor="text" w:hAnchor="text" w:y="1"/>
      <w:outlineLvl w:val="2"/>
    </w:pPr>
    <w:rPr>
      <w:lang w:val="en-GB"/>
    </w:rPr>
  </w:style>
  <w:style w:type="paragraph" w:styleId="Naslov4">
    <w:name w:val="heading 4"/>
    <w:basedOn w:val="Normal"/>
    <w:next w:val="Normal"/>
    <w:qFormat/>
    <w:pPr>
      <w:keepNext/>
      <w:numPr>
        <w:ilvl w:val="3"/>
        <w:numId w:val="2"/>
      </w:numPr>
      <w:spacing w:before="240" w:after="60"/>
      <w:outlineLvl w:val="3"/>
    </w:pPr>
    <w:rPr>
      <w:b/>
      <w:sz w:val="24"/>
    </w:rPr>
  </w:style>
  <w:style w:type="paragraph" w:styleId="Naslov5">
    <w:name w:val="heading 5"/>
    <w:basedOn w:val="Normal"/>
    <w:next w:val="Normal"/>
    <w:qFormat/>
    <w:pPr>
      <w:numPr>
        <w:ilvl w:val="4"/>
        <w:numId w:val="2"/>
      </w:numPr>
      <w:spacing w:before="240" w:after="60"/>
      <w:outlineLvl w:val="4"/>
    </w:pPr>
    <w:rPr>
      <w:sz w:val="22"/>
    </w:rPr>
  </w:style>
  <w:style w:type="paragraph" w:styleId="Naslov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pPr>
      <w:numPr>
        <w:ilvl w:val="6"/>
        <w:numId w:val="2"/>
      </w:numPr>
      <w:spacing w:before="240" w:after="60"/>
      <w:outlineLvl w:val="6"/>
    </w:pPr>
  </w:style>
  <w:style w:type="paragraph" w:styleId="Naslov8">
    <w:name w:val="heading 8"/>
    <w:basedOn w:val="Normal"/>
    <w:next w:val="Normal"/>
    <w:qFormat/>
    <w:pPr>
      <w:numPr>
        <w:ilvl w:val="7"/>
        <w:numId w:val="2"/>
      </w:numPr>
      <w:spacing w:before="240" w:after="60"/>
      <w:outlineLvl w:val="7"/>
    </w:pPr>
    <w:rPr>
      <w:i/>
    </w:rPr>
  </w:style>
  <w:style w:type="paragraph" w:styleId="Naslov9">
    <w:name w:val="heading 9"/>
    <w:basedOn w:val="Normal"/>
    <w:next w:val="Normal"/>
    <w:qFormat/>
    <w:pPr>
      <w:numPr>
        <w:ilvl w:val="8"/>
        <w:numId w:val="2"/>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qFormat/>
    <w:pPr>
      <w:jc w:val="center"/>
    </w:pPr>
    <w:rPr>
      <w:b/>
      <w:sz w:val="28"/>
      <w:lang w:val="fr-BE"/>
    </w:rPr>
  </w:style>
  <w:style w:type="paragraph" w:styleId="Podnaslov">
    <w:name w:val="Subtitle"/>
    <w:basedOn w:val="Normal"/>
    <w:qFormat/>
    <w:pPr>
      <w:jc w:val="center"/>
    </w:pPr>
    <w:rPr>
      <w:b/>
      <w:sz w:val="28"/>
      <w:lang w:val="fr-BE"/>
    </w:rPr>
  </w:style>
  <w:style w:type="paragraph" w:styleId="Uvuenotijeloteksta">
    <w:name w:val="Body Text Indent"/>
    <w:basedOn w:val="Normal"/>
    <w:pPr>
      <w:tabs>
        <w:tab w:val="num" w:pos="567"/>
      </w:tabs>
      <w:spacing w:before="0" w:after="0"/>
      <w:jc w:val="both"/>
    </w:pPr>
    <w:rPr>
      <w:rFonts w:ascii="Times New Roman" w:hAnsi="Times New Roman"/>
      <w:sz w:val="24"/>
    </w:rPr>
  </w:style>
  <w:style w:type="paragraph" w:styleId="Tijeloteksta">
    <w:name w:val="Body Text"/>
    <w:basedOn w:val="Normal"/>
  </w:style>
  <w:style w:type="paragraph" w:styleId="Tijeloteksta-uvlaka2">
    <w:name w:val="Body Text Indent 2"/>
    <w:basedOn w:val="Normal"/>
    <w:pPr>
      <w:tabs>
        <w:tab w:val="num" w:pos="567"/>
        <w:tab w:val="num" w:pos="2160"/>
      </w:tabs>
      <w:spacing w:after="240"/>
      <w:ind w:left="567" w:hanging="567"/>
      <w:jc w:val="both"/>
    </w:pPr>
    <w:rPr>
      <w:sz w:val="24"/>
      <w:u w:val="single"/>
    </w:rPr>
  </w:style>
  <w:style w:type="paragraph" w:styleId="Tijeloteksta-uvlak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
    <w:name w:val="header"/>
    <w:basedOn w:val="Normal"/>
    <w:pPr>
      <w:tabs>
        <w:tab w:val="center" w:pos="4320"/>
        <w:tab w:val="right" w:pos="8640"/>
      </w:tabs>
    </w:pPr>
  </w:style>
  <w:style w:type="paragraph" w:styleId="Podnoje">
    <w:name w:val="footer"/>
    <w:basedOn w:val="Normal"/>
    <w:pPr>
      <w:tabs>
        <w:tab w:val="center" w:pos="4320"/>
        <w:tab w:val="right" w:pos="8640"/>
      </w:tabs>
    </w:pPr>
  </w:style>
  <w:style w:type="character" w:styleId="Brojstranice">
    <w:name w:val="page number"/>
    <w:basedOn w:val="Zadanifontodlomka"/>
  </w:style>
  <w:style w:type="paragraph" w:styleId="Tij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Kart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Slije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Reetkatablice">
    <w:name w:val="Table Grid"/>
    <w:basedOn w:val="Obinatablic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B25580"/>
    <w:rPr>
      <w:rFonts w:ascii="Tahoma" w:hAnsi="Tahoma" w:cs="Tahoma"/>
      <w:sz w:val="16"/>
      <w:szCs w:val="16"/>
    </w:rPr>
  </w:style>
  <w:style w:type="character" w:styleId="Referencakomentara">
    <w:name w:val="annotation reference"/>
    <w:rsid w:val="00CF7AAC"/>
    <w:rPr>
      <w:sz w:val="16"/>
      <w:szCs w:val="16"/>
    </w:rPr>
  </w:style>
  <w:style w:type="paragraph" w:styleId="Tekstkomentara">
    <w:name w:val="annotation text"/>
    <w:basedOn w:val="Normal"/>
    <w:link w:val="TekstkomentaraChar"/>
    <w:rsid w:val="00CF7AAC"/>
  </w:style>
  <w:style w:type="character" w:customStyle="1" w:styleId="TekstkomentaraChar">
    <w:name w:val="Tekst komentara Char"/>
    <w:link w:val="Tekstkomentara"/>
    <w:rsid w:val="00CF7AAC"/>
    <w:rPr>
      <w:rFonts w:ascii="Arial" w:hAnsi="Arial"/>
      <w:snapToGrid w:val="0"/>
      <w:lang w:val="sv-SE" w:eastAsia="en-US"/>
    </w:rPr>
  </w:style>
  <w:style w:type="paragraph" w:styleId="Predmetkomentara">
    <w:name w:val="annotation subject"/>
    <w:basedOn w:val="Tekstkomentara"/>
    <w:next w:val="Tekstkomentara"/>
    <w:link w:val="PredmetkomentaraChar"/>
    <w:rsid w:val="00CF7AAC"/>
    <w:rPr>
      <w:b/>
      <w:bCs/>
    </w:rPr>
  </w:style>
  <w:style w:type="character" w:customStyle="1" w:styleId="PredmetkomentaraChar">
    <w:name w:val="Predmet komentara Char"/>
    <w:link w:val="Predmetkomentara"/>
    <w:rsid w:val="00CF7AAC"/>
    <w:rPr>
      <w:rFonts w:ascii="Arial" w:hAnsi="Arial"/>
      <w:b/>
      <w:bCs/>
      <w:snapToGrid w:val="0"/>
      <w:lang w:val="sv-SE" w:eastAsia="en-US"/>
    </w:rPr>
  </w:style>
  <w:style w:type="paragraph" w:styleId="Odlomakpopisa">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paragraph" w:customStyle="1" w:styleId="Default">
    <w:name w:val="Default"/>
    <w:rsid w:val="001E1BA5"/>
    <w:pPr>
      <w:autoSpaceDE w:val="0"/>
      <w:autoSpaceDN w:val="0"/>
      <w:adjustRightInd w:val="0"/>
    </w:pPr>
    <w:rPr>
      <w:rFonts w:ascii="Titillium Up" w:eastAsiaTheme="minorHAnsi" w:hAnsi="Titillium Up" w:cs="Titillium Up"/>
      <w:color w:val="000000"/>
      <w:sz w:val="24"/>
      <w:szCs w:val="24"/>
      <w14:ligatures w14:val="standardContextual"/>
    </w:rPr>
  </w:style>
  <w:style w:type="character" w:customStyle="1" w:styleId="A2">
    <w:name w:val="A2"/>
    <w:uiPriority w:val="99"/>
    <w:rsid w:val="001E1BA5"/>
    <w:rPr>
      <w:rFonts w:cs="Titillium Up"/>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F532B-109F-42AB-95D1-C323F83D3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1464</Words>
  <Characters>8350</Characters>
  <Application>Microsoft Office Word</Application>
  <DocSecurity>0</DocSecurity>
  <Lines>69</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INSTRUCTIONS TO TENDERERS</vt:lpstr>
    </vt:vector>
  </TitlesOfParts>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7</cp:revision>
  <cp:lastPrinted>2012-09-24T10:13:00Z</cp:lastPrinted>
  <dcterms:created xsi:type="dcterms:W3CDTF">2025-12-03T06:36:00Z</dcterms:created>
  <dcterms:modified xsi:type="dcterms:W3CDTF">2025-12-03T12:20:00Z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